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1AE2E" w14:textId="657213B1" w:rsidR="000B5779" w:rsidRPr="000B5779" w:rsidRDefault="000B5779" w:rsidP="000B57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Arial" w:eastAsia="Arial" w:hAnsi="Arial" w:cs="Arial"/>
          <w:b/>
          <w:color w:val="000000"/>
          <w:sz w:val="44"/>
          <w:szCs w:val="44"/>
        </w:rPr>
      </w:pPr>
      <w:r w:rsidRPr="000B5779">
        <w:rPr>
          <w:rFonts w:ascii="Arial" w:eastAsia="Arial" w:hAnsi="Arial" w:cs="Arial"/>
          <w:b/>
          <w:bCs/>
          <w:color w:val="000000"/>
          <w:sz w:val="44"/>
          <w:szCs w:val="44"/>
        </w:rPr>
        <w:t>UČEBNY VIRTUÁLNÍ REALITY NA ZŠ V KARVINÉ</w:t>
      </w:r>
    </w:p>
    <w:p w14:paraId="4A03F3F3" w14:textId="572BD75C" w:rsidR="000B5779" w:rsidRDefault="000B5779" w:rsidP="000B57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Arial" w:eastAsia="Arial" w:hAnsi="Arial" w:cs="Arial"/>
          <w:b/>
          <w:bCs/>
          <w:color w:val="000000"/>
          <w:sz w:val="44"/>
          <w:szCs w:val="44"/>
        </w:rPr>
      </w:pPr>
      <w:r w:rsidRPr="000B5779">
        <w:rPr>
          <w:rFonts w:ascii="Arial" w:eastAsia="Arial" w:hAnsi="Arial" w:cs="Arial"/>
          <w:b/>
          <w:bCs/>
          <w:color w:val="000000"/>
          <w:sz w:val="44"/>
          <w:szCs w:val="44"/>
        </w:rPr>
        <w:t>ZŠ MENDELOVA</w:t>
      </w:r>
    </w:p>
    <w:p w14:paraId="688A1F33" w14:textId="77777777" w:rsidR="000B5779" w:rsidRPr="000B5779" w:rsidRDefault="000B5779" w:rsidP="000B57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38146ED7" w14:textId="14DBBA20" w:rsidR="00422585" w:rsidRPr="000B5779" w:rsidRDefault="000B5779" w:rsidP="000B57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Arial" w:eastAsia="Arial" w:hAnsi="Arial" w:cs="Arial"/>
          <w:color w:val="000000"/>
          <w:sz w:val="36"/>
          <w:szCs w:val="36"/>
        </w:rPr>
      </w:pPr>
      <w:r w:rsidRPr="000B5779">
        <w:rPr>
          <w:rFonts w:ascii="Arial" w:eastAsia="Arial" w:hAnsi="Arial" w:cs="Arial"/>
          <w:b/>
          <w:bCs/>
          <w:color w:val="000000"/>
          <w:sz w:val="36"/>
          <w:szCs w:val="36"/>
        </w:rPr>
        <w:t xml:space="preserve">Technická specifikace </w:t>
      </w:r>
      <w:r>
        <w:rPr>
          <w:rFonts w:ascii="Arial" w:eastAsia="Arial" w:hAnsi="Arial" w:cs="Arial"/>
          <w:b/>
          <w:bCs/>
          <w:color w:val="000000"/>
          <w:sz w:val="36"/>
          <w:szCs w:val="36"/>
        </w:rPr>
        <w:t>–</w:t>
      </w:r>
      <w:r w:rsidRPr="000B5779">
        <w:rPr>
          <w:rFonts w:ascii="Arial" w:eastAsia="Arial" w:hAnsi="Arial" w:cs="Arial"/>
          <w:b/>
          <w:bCs/>
          <w:color w:val="000000"/>
          <w:sz w:val="36"/>
          <w:szCs w:val="36"/>
        </w:rPr>
        <w:t xml:space="preserve"> konektivita</w:t>
      </w:r>
      <w:r>
        <w:rPr>
          <w:rFonts w:ascii="Arial" w:eastAsia="Arial" w:hAnsi="Arial" w:cs="Arial"/>
          <w:b/>
          <w:bCs/>
          <w:color w:val="000000"/>
          <w:sz w:val="36"/>
          <w:szCs w:val="36"/>
        </w:rPr>
        <w:t>, aktivní prvky</w:t>
      </w:r>
    </w:p>
    <w:p w14:paraId="1FFAF2B9" w14:textId="77777777" w:rsidR="000B5779" w:rsidRDefault="000B57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</w:p>
    <w:p w14:paraId="00000005" w14:textId="614B474B" w:rsidR="00845C8C" w:rsidRDefault="007246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Firewall 1 ks</w:t>
      </w:r>
    </w:p>
    <w:p w14:paraId="00000006" w14:textId="77777777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Firewall typu </w:t>
      </w:r>
      <w:proofErr w:type="spellStart"/>
      <w:r>
        <w:rPr>
          <w:color w:val="000000"/>
        </w:rPr>
        <w:t>Next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Generation</w:t>
      </w:r>
      <w:proofErr w:type="spellEnd"/>
      <w:r>
        <w:rPr>
          <w:color w:val="000000"/>
        </w:rPr>
        <w:t xml:space="preserve">, HTTP/HTTPS Web </w:t>
      </w:r>
      <w:proofErr w:type="spellStart"/>
      <w:r>
        <w:rPr>
          <w:color w:val="000000"/>
        </w:rPr>
        <w:t>Filtering</w:t>
      </w:r>
      <w:proofErr w:type="spellEnd"/>
      <w:r>
        <w:rPr>
          <w:color w:val="000000"/>
        </w:rPr>
        <w:t>, Antivir/</w:t>
      </w:r>
      <w:proofErr w:type="spellStart"/>
      <w:r>
        <w:rPr>
          <w:color w:val="000000"/>
        </w:rPr>
        <w:t>Antispam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Services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loadballancing</w:t>
      </w:r>
      <w:proofErr w:type="spellEnd"/>
      <w:r>
        <w:rPr>
          <w:color w:val="000000"/>
        </w:rPr>
        <w:t xml:space="preserve">, aplikační kontrolu na síťové úrovni, která umožňuje zobrazení využití webových aplikací, </w:t>
      </w:r>
      <w:proofErr w:type="spellStart"/>
      <w:r>
        <w:rPr>
          <w:color w:val="000000"/>
        </w:rPr>
        <w:t>Advanced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Malware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Protection</w:t>
      </w:r>
      <w:proofErr w:type="spellEnd"/>
      <w:r>
        <w:rPr>
          <w:color w:val="000000"/>
        </w:rPr>
        <w:t xml:space="preserve">, Ochrana pomocí </w:t>
      </w:r>
      <w:proofErr w:type="spellStart"/>
      <w:r>
        <w:rPr>
          <w:color w:val="000000"/>
        </w:rPr>
        <w:t>Intrusion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Prevention</w:t>
      </w:r>
      <w:proofErr w:type="spellEnd"/>
      <w:r>
        <w:rPr>
          <w:color w:val="000000"/>
        </w:rPr>
        <w:t xml:space="preserve"> (IPS) - možnost definování vlastních signatur, licence na </w:t>
      </w:r>
      <w:r>
        <w:t>všechny dostupné funkcionality minimálně po do</w:t>
      </w:r>
      <w:bookmarkStart w:id="0" w:name="_GoBack"/>
      <w:bookmarkEnd w:id="0"/>
      <w:r>
        <w:t>bu realizace projektu</w:t>
      </w:r>
      <w:r>
        <w:rPr>
          <w:color w:val="000000"/>
        </w:rPr>
        <w:t xml:space="preserve">, výrobcem garantovaná dostupnost aktualizací po dobu minimálně 5 let, propustnost firewallu min. 10Gbps, NGFW propustnost min. 1 </w:t>
      </w:r>
      <w:proofErr w:type="spellStart"/>
      <w:r>
        <w:rPr>
          <w:color w:val="000000"/>
        </w:rPr>
        <w:t>Gbps</w:t>
      </w:r>
      <w:proofErr w:type="spellEnd"/>
      <w:r>
        <w:rPr>
          <w:color w:val="000000"/>
        </w:rPr>
        <w:t xml:space="preserve">, Propustnost IPS min. 1,4 </w:t>
      </w:r>
      <w:proofErr w:type="spellStart"/>
      <w:r>
        <w:rPr>
          <w:color w:val="000000"/>
        </w:rPr>
        <w:t>Gbps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IPsec</w:t>
      </w:r>
      <w:proofErr w:type="spellEnd"/>
      <w:r>
        <w:rPr>
          <w:color w:val="000000"/>
        </w:rPr>
        <w:t xml:space="preserve"> VPN min. 6,5 </w:t>
      </w:r>
      <w:proofErr w:type="spellStart"/>
      <w:r>
        <w:rPr>
          <w:color w:val="000000"/>
        </w:rPr>
        <w:t>Gbps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NetFlow</w:t>
      </w:r>
      <w:proofErr w:type="spellEnd"/>
      <w:r>
        <w:rPr>
          <w:color w:val="000000"/>
        </w:rPr>
        <w:t xml:space="preserve">, </w:t>
      </w:r>
      <w:r>
        <w:t>možnost zasílání logů do centrálního logovacího systému,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color w:val="000000"/>
        </w:rPr>
        <w:t xml:space="preserve"> minimálně 1x </w:t>
      </w:r>
      <w:proofErr w:type="spellStart"/>
      <w:r>
        <w:rPr>
          <w:color w:val="000000"/>
        </w:rPr>
        <w:t>console</w:t>
      </w:r>
      <w:proofErr w:type="spellEnd"/>
      <w:r>
        <w:rPr>
          <w:color w:val="000000"/>
        </w:rPr>
        <w:t xml:space="preserve"> port a 1x USB port, minimální počet portu 2x GE RJ45/SFP a 6x </w:t>
      </w:r>
      <w:proofErr w:type="spellStart"/>
      <w:r>
        <w:rPr>
          <w:color w:val="000000"/>
        </w:rPr>
        <w:t>GbE</w:t>
      </w:r>
      <w:proofErr w:type="spellEnd"/>
      <w:r>
        <w:rPr>
          <w:color w:val="000000"/>
        </w:rPr>
        <w:t xml:space="preserve"> port, </w:t>
      </w:r>
      <w:r>
        <w:t>c</w:t>
      </w:r>
      <w:r>
        <w:rPr>
          <w:color w:val="000000"/>
        </w:rPr>
        <w:t>ena včetně instalace, implementace a dopravy.</w:t>
      </w:r>
    </w:p>
    <w:p w14:paraId="00000007" w14:textId="77777777" w:rsidR="00845C8C" w:rsidRDefault="007246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 </w:t>
      </w:r>
    </w:p>
    <w:p w14:paraId="00000008" w14:textId="77777777" w:rsidR="00845C8C" w:rsidRDefault="007246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Server 1x Soubor</w:t>
      </w:r>
    </w:p>
    <w:p w14:paraId="00000009" w14:textId="086308EB" w:rsidR="00845C8C" w:rsidRDefault="009614D7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color w:val="000000"/>
        </w:rPr>
        <w:t>U</w:t>
      </w:r>
      <w:r w:rsidR="007246BE">
        <w:rPr>
          <w:color w:val="000000"/>
        </w:rPr>
        <w:t>místění do Racku, velikost 2U, serverový CPU min. 8 jader a 1</w:t>
      </w:r>
      <w:r w:rsidR="00BE4413">
        <w:rPr>
          <w:color w:val="000000"/>
        </w:rPr>
        <w:t>8</w:t>
      </w:r>
      <w:r w:rsidR="007246BE">
        <w:rPr>
          <w:color w:val="000000"/>
        </w:rPr>
        <w:t xml:space="preserve">000 bodu dle www.cpubenchmark.net, paměť min. 64GB DDR4, složení disků minimálně 2x SSD 480GB SATA s certifikací pro servery a 2x 2,4TB SAS 10k </w:t>
      </w:r>
      <w:proofErr w:type="spellStart"/>
      <w:r w:rsidR="007246BE">
        <w:rPr>
          <w:color w:val="000000"/>
        </w:rPr>
        <w:t>rpm</w:t>
      </w:r>
      <w:proofErr w:type="spellEnd"/>
      <w:r w:rsidR="007246BE">
        <w:rPr>
          <w:color w:val="000000"/>
        </w:rPr>
        <w:t xml:space="preserve"> 12G, řadič s RAID 5 a s min. 2GB baterií zálohovanou </w:t>
      </w:r>
      <w:proofErr w:type="spellStart"/>
      <w:r w:rsidR="007246BE">
        <w:rPr>
          <w:color w:val="000000"/>
        </w:rPr>
        <w:t>cache</w:t>
      </w:r>
      <w:proofErr w:type="spellEnd"/>
      <w:r w:rsidR="007246BE">
        <w:rPr>
          <w:color w:val="000000"/>
        </w:rPr>
        <w:t>, složení Lan portu min. 4x 1GE a 2x SFP+ 10G, možnost vzdáleného ovládání na HW úrovni s reálným náhledem na instalovaný OS, redundantní zdroj min. 5</w:t>
      </w:r>
      <w:r w:rsidR="007246BE">
        <w:t>00W, výrobcem garantovaná podpora HW minimálně po dobu 5let</w:t>
      </w:r>
      <w:r w:rsidR="007246BE">
        <w:rPr>
          <w:color w:val="000000"/>
        </w:rPr>
        <w:t xml:space="preserve">. </w:t>
      </w:r>
      <w:r w:rsidR="007246BE">
        <w:t>Cena včetně instalace, implementace a dopravy.</w:t>
      </w:r>
    </w:p>
    <w:p w14:paraId="0000000A" w14:textId="77777777" w:rsidR="00845C8C" w:rsidRDefault="00845C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0B" w14:textId="77777777" w:rsidR="00845C8C" w:rsidRDefault="007246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Implementační práce 15x člověkoden</w:t>
      </w:r>
    </w:p>
    <w:p w14:paraId="0000000C" w14:textId="77777777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Součástí dodávky budou následující implementační práce: Instalace 1x VM dodávaného serverového OS a migrace stávajícího doménového řešení s konfiguraci dle specifikace P9 - Standard konektivity škol.pdf</w:t>
      </w:r>
    </w:p>
    <w:p w14:paraId="0000000D" w14:textId="77777777" w:rsidR="00845C8C" w:rsidRDefault="00845C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0E" w14:textId="77777777" w:rsidR="00845C8C" w:rsidRDefault="007246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SW pro Virtualizaci – 1x Soubor</w:t>
      </w:r>
    </w:p>
    <w:p w14:paraId="0000000F" w14:textId="77777777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proofErr w:type="spellStart"/>
      <w:r>
        <w:rPr>
          <w:color w:val="000000"/>
        </w:rPr>
        <w:t>Academic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VMware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vSphere</w:t>
      </w:r>
      <w:proofErr w:type="spellEnd"/>
      <w:r>
        <w:rPr>
          <w:color w:val="000000"/>
        </w:rPr>
        <w:t xml:space="preserve"> nebo obdobný - počet licencí dle CPU serveru, aktualizace a support dle P9 - Standard konektivity škol.pdf</w:t>
      </w:r>
    </w:p>
    <w:p w14:paraId="00000010" w14:textId="77777777" w:rsidR="00845C8C" w:rsidRDefault="00845C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11" w14:textId="77777777" w:rsidR="00845C8C" w:rsidRDefault="007246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Logování a Monitoring 1ks </w:t>
      </w:r>
    </w:p>
    <w:p w14:paraId="00000012" w14:textId="44A12D7E" w:rsidR="00845C8C" w:rsidRDefault="009614D7" w:rsidP="009614D7">
      <w:pPr>
        <w:spacing w:after="20"/>
        <w:ind w:left="0" w:hanging="2"/>
        <w:jc w:val="both"/>
      </w:pPr>
      <w:r>
        <w:t>S</w:t>
      </w:r>
      <w:r w:rsidR="007246BE">
        <w:t xml:space="preserve">běr bezpečnostních informací a událostí splňující tyto minimální technické parametry: </w:t>
      </w:r>
    </w:p>
    <w:p w14:paraId="00000013" w14:textId="43CA481D" w:rsidR="00845C8C" w:rsidRDefault="007246BE" w:rsidP="009614D7">
      <w:pPr>
        <w:ind w:left="0" w:hanging="2"/>
        <w:jc w:val="both"/>
      </w:pPr>
      <w:r>
        <w:t xml:space="preserve">Plná </w:t>
      </w:r>
      <w:r w:rsidRPr="00716974">
        <w:t xml:space="preserve">kompatibilita se stávajícím centrálním systémem pro správu logů (centrální systém pro správu logů je zařízení </w:t>
      </w:r>
      <w:proofErr w:type="spellStart"/>
      <w:r w:rsidRPr="00716974">
        <w:t>LogManager</w:t>
      </w:r>
      <w:proofErr w:type="spellEnd"/>
      <w:r w:rsidRPr="00716974">
        <w:t xml:space="preserve"> firmy </w:t>
      </w:r>
      <w:proofErr w:type="spellStart"/>
      <w:r w:rsidRPr="00716974">
        <w:t>Sirwisa</w:t>
      </w:r>
      <w:proofErr w:type="spellEnd"/>
      <w:r w:rsidRPr="00716974">
        <w:t xml:space="preserve"> a.s. a je umístěn v technologickém centru magistrátu města Karviné). Plnou kompatibilitou se rozumí možnost zasílání událostí do centrálního systému při splnění níže uvedených požadavků, zařízení musí umožňovat sběr událostí s těchto systémů: OS Windows 7 a vyšší, OS Windows server 2008 a vyšší, OS Linux, Antivir </w:t>
      </w:r>
      <w:proofErr w:type="spellStart"/>
      <w:r w:rsidRPr="00716974">
        <w:t>Eset</w:t>
      </w:r>
      <w:proofErr w:type="spellEnd"/>
      <w:r w:rsidRPr="00716974">
        <w:t xml:space="preserve">, včetně </w:t>
      </w:r>
      <w:proofErr w:type="spellStart"/>
      <w:r w:rsidRPr="00716974">
        <w:t>Eset</w:t>
      </w:r>
      <w:proofErr w:type="spellEnd"/>
      <w:r w:rsidRPr="00716974">
        <w:t xml:space="preserve"> </w:t>
      </w:r>
      <w:proofErr w:type="spellStart"/>
      <w:r w:rsidRPr="00716974">
        <w:t>remote</w:t>
      </w:r>
      <w:proofErr w:type="spellEnd"/>
      <w:r w:rsidRPr="00716974">
        <w:t xml:space="preserve"> </w:t>
      </w:r>
      <w:proofErr w:type="spellStart"/>
      <w:r w:rsidRPr="00716974">
        <w:t>administrator</w:t>
      </w:r>
      <w:proofErr w:type="spellEnd"/>
      <w:r>
        <w:t xml:space="preserve">, </w:t>
      </w:r>
      <w:proofErr w:type="spellStart"/>
      <w:r>
        <w:t>switch</w:t>
      </w:r>
      <w:proofErr w:type="spellEnd"/>
      <w:r>
        <w:t xml:space="preserve"> HPE, Cisco, </w:t>
      </w:r>
      <w:proofErr w:type="spellStart"/>
      <w:r>
        <w:t>Mikrotik</w:t>
      </w:r>
      <w:proofErr w:type="spellEnd"/>
      <w:r>
        <w:t xml:space="preserve">, UBNT </w:t>
      </w:r>
      <w:proofErr w:type="spellStart"/>
      <w:r>
        <w:t>UniFI</w:t>
      </w:r>
      <w:proofErr w:type="spellEnd"/>
      <w:r>
        <w:t xml:space="preserve">, </w:t>
      </w:r>
      <w:proofErr w:type="spellStart"/>
      <w:r>
        <w:t>VMware</w:t>
      </w:r>
      <w:proofErr w:type="spellEnd"/>
      <w:r>
        <w:t xml:space="preserve">, výkon zařízení min. 5000 událostí za sekundu, zasílání logů do centrálního systému musí být realizováno pomocí zabezpečené komunikace (např. IPsec tunel), zasílané logy musí obsahovat informaci/značku o tom, z které školy jsou odesílané, v případě výpadku spojení s centrálním systémem, musí zařízení uchovávat logy pro následné odeslání s kapacitou 50GB, výrobcem garantována podpora SW  min 5 let. </w:t>
      </w:r>
      <w:r w:rsidR="00BE4413">
        <w:t xml:space="preserve">Typ: </w:t>
      </w:r>
      <w:proofErr w:type="spellStart"/>
      <w:r w:rsidR="00BE4413">
        <w:t>Virtual</w:t>
      </w:r>
      <w:proofErr w:type="spellEnd"/>
      <w:r w:rsidR="00BE4413">
        <w:t xml:space="preserve"> </w:t>
      </w:r>
      <w:proofErr w:type="spellStart"/>
      <w:r w:rsidR="00BE4413">
        <w:t>Appliance</w:t>
      </w:r>
      <w:proofErr w:type="spellEnd"/>
    </w:p>
    <w:p w14:paraId="00000015" w14:textId="77777777" w:rsidR="00845C8C" w:rsidRDefault="00845C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16" w14:textId="77777777" w:rsidR="00845C8C" w:rsidRDefault="007246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Centrální přepínač 1x Soubor</w:t>
      </w:r>
    </w:p>
    <w:p w14:paraId="00000017" w14:textId="2054EFA6" w:rsidR="00845C8C" w:rsidRDefault="009614D7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M</w:t>
      </w:r>
      <w:r w:rsidR="007246BE">
        <w:rPr>
          <w:color w:val="000000"/>
        </w:rPr>
        <w:t xml:space="preserve">in. 24x 1G/10G SFP+ port, Kapacita přepínače min. 480 </w:t>
      </w:r>
      <w:proofErr w:type="spellStart"/>
      <w:r w:rsidR="007246BE">
        <w:rPr>
          <w:color w:val="000000"/>
        </w:rPr>
        <w:t>Gbps</w:t>
      </w:r>
      <w:proofErr w:type="spellEnd"/>
      <w:r w:rsidR="007246BE">
        <w:rPr>
          <w:color w:val="000000"/>
        </w:rPr>
        <w:t xml:space="preserve">, L3 vrstva, IEEE 802.1s, 802.1Q, 802.1X, ovládání pomocí </w:t>
      </w:r>
      <w:r w:rsidR="00E05D41">
        <w:rPr>
          <w:color w:val="000000"/>
        </w:rPr>
        <w:t>web/</w:t>
      </w:r>
      <w:proofErr w:type="spellStart"/>
      <w:r w:rsidR="007246BE">
        <w:rPr>
          <w:color w:val="000000"/>
        </w:rPr>
        <w:t>Command</w:t>
      </w:r>
      <w:proofErr w:type="spellEnd"/>
      <w:r w:rsidR="007246BE">
        <w:rPr>
          <w:color w:val="000000"/>
        </w:rPr>
        <w:t>-line interface</w:t>
      </w:r>
      <w:r w:rsidR="007246BE">
        <w:t>, cena včetně instalace, konfigurace a dopravy.</w:t>
      </w:r>
    </w:p>
    <w:p w14:paraId="00000018" w14:textId="77777777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Součástí dodávky bude následující instalační a spojovací materiál: </w:t>
      </w:r>
    </w:p>
    <w:p w14:paraId="00000019" w14:textId="77777777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24ks SFP+ transceiver 10GBASE-LR/LW, </w:t>
      </w:r>
      <w:proofErr w:type="spellStart"/>
      <w:r>
        <w:rPr>
          <w:color w:val="000000"/>
        </w:rPr>
        <w:t>multirate</w:t>
      </w:r>
      <w:proofErr w:type="spellEnd"/>
      <w:r>
        <w:rPr>
          <w:color w:val="000000"/>
        </w:rPr>
        <w:t xml:space="preserve">, SM 10km, 1310nm, LC dupl., DMI. </w:t>
      </w:r>
      <w:proofErr w:type="spellStart"/>
      <w:r>
        <w:rPr>
          <w:color w:val="000000"/>
        </w:rPr>
        <w:t>kompat</w:t>
      </w:r>
      <w:proofErr w:type="spellEnd"/>
      <w:r>
        <w:rPr>
          <w:color w:val="000000"/>
        </w:rPr>
        <w:t>. s dodávanými přepínači</w:t>
      </w:r>
    </w:p>
    <w:p w14:paraId="0000001A" w14:textId="77777777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20ks Optický </w:t>
      </w:r>
      <w:proofErr w:type="spellStart"/>
      <w:r>
        <w:rPr>
          <w:color w:val="000000"/>
        </w:rPr>
        <w:t>Patchcord</w:t>
      </w:r>
      <w:proofErr w:type="spellEnd"/>
      <w:r>
        <w:rPr>
          <w:color w:val="000000"/>
        </w:rPr>
        <w:t xml:space="preserve"> SM Duplex 1m</w:t>
      </w:r>
    </w:p>
    <w:p w14:paraId="0000001B" w14:textId="77777777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5ks Optický </w:t>
      </w:r>
      <w:proofErr w:type="spellStart"/>
      <w:r>
        <w:rPr>
          <w:color w:val="000000"/>
        </w:rPr>
        <w:t>Patchcord</w:t>
      </w:r>
      <w:proofErr w:type="spellEnd"/>
      <w:r>
        <w:rPr>
          <w:color w:val="000000"/>
        </w:rPr>
        <w:t xml:space="preserve"> SM Duplex 2m</w:t>
      </w:r>
    </w:p>
    <w:p w14:paraId="0000001C" w14:textId="77777777" w:rsidR="00845C8C" w:rsidRDefault="00845C8C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1D" w14:textId="77331666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Síťový přepínač - typ1 </w:t>
      </w:r>
      <w:r w:rsidR="00D63F0B">
        <w:rPr>
          <w:b/>
          <w:color w:val="000000"/>
        </w:rPr>
        <w:t xml:space="preserve"> - </w:t>
      </w:r>
      <w:r>
        <w:rPr>
          <w:b/>
          <w:color w:val="000000"/>
        </w:rPr>
        <w:t>2x</w:t>
      </w:r>
    </w:p>
    <w:p w14:paraId="0000001E" w14:textId="650E251A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Switch 48G port - min. 48x 10/100/1000BASE-T Port a 4x 1G/10G SFP+ port, </w:t>
      </w:r>
      <w:r w:rsidR="00BE4413">
        <w:rPr>
          <w:color w:val="000000"/>
        </w:rPr>
        <w:t xml:space="preserve">min. 370W </w:t>
      </w:r>
      <w:proofErr w:type="spellStart"/>
      <w:r w:rsidR="00BE4413">
        <w:rPr>
          <w:color w:val="000000"/>
        </w:rPr>
        <w:t>Class</w:t>
      </w:r>
      <w:proofErr w:type="spellEnd"/>
      <w:r w:rsidR="00BE4413">
        <w:rPr>
          <w:color w:val="000000"/>
        </w:rPr>
        <w:t xml:space="preserve"> 4 </w:t>
      </w:r>
      <w:proofErr w:type="spellStart"/>
      <w:r w:rsidR="00BE4413">
        <w:rPr>
          <w:color w:val="000000"/>
        </w:rPr>
        <w:t>PoE</w:t>
      </w:r>
      <w:proofErr w:type="spellEnd"/>
      <w:r w:rsidR="00BE4413">
        <w:rPr>
          <w:color w:val="000000"/>
        </w:rPr>
        <w:t xml:space="preserve">, </w:t>
      </w:r>
      <w:r>
        <w:rPr>
          <w:color w:val="000000"/>
        </w:rPr>
        <w:t xml:space="preserve">interní AC, Kapacita přepínače min. 176 </w:t>
      </w:r>
      <w:proofErr w:type="spellStart"/>
      <w:r>
        <w:rPr>
          <w:color w:val="000000"/>
        </w:rPr>
        <w:t>Gbps</w:t>
      </w:r>
      <w:proofErr w:type="spellEnd"/>
      <w:r>
        <w:rPr>
          <w:color w:val="000000"/>
        </w:rPr>
        <w:t>, podpora IEEE 802.1X,  IEEE 802.1Q,  IEEE 802.1S, možnost uložení více konfiguračních souborů, Cena včetně instalace, konfigurace a dopravy. Omezená doživotní záruka.</w:t>
      </w:r>
    </w:p>
    <w:p w14:paraId="00000020" w14:textId="77777777" w:rsidR="00845C8C" w:rsidRDefault="00845C8C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00000021" w14:textId="5D1DBCDC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Síťový přepínač - typ2 </w:t>
      </w:r>
      <w:r w:rsidR="00D63F0B">
        <w:rPr>
          <w:b/>
          <w:color w:val="000000"/>
        </w:rPr>
        <w:t xml:space="preserve"> - </w:t>
      </w:r>
      <w:r>
        <w:rPr>
          <w:b/>
        </w:rPr>
        <w:t>10</w:t>
      </w:r>
      <w:r>
        <w:rPr>
          <w:b/>
          <w:color w:val="000000"/>
        </w:rPr>
        <w:t>x</w:t>
      </w:r>
    </w:p>
    <w:p w14:paraId="00000022" w14:textId="77777777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Switch 24G port - min. 24x 10/100/1000BASE-T Port a 4x 1G/10G SFP+ port, min. 370W </w:t>
      </w:r>
      <w:proofErr w:type="spellStart"/>
      <w:r>
        <w:rPr>
          <w:color w:val="000000"/>
        </w:rPr>
        <w:t>Class</w:t>
      </w:r>
      <w:proofErr w:type="spellEnd"/>
      <w:r>
        <w:rPr>
          <w:color w:val="000000"/>
        </w:rPr>
        <w:t xml:space="preserve"> 4 </w:t>
      </w:r>
      <w:proofErr w:type="spellStart"/>
      <w:r>
        <w:rPr>
          <w:color w:val="000000"/>
        </w:rPr>
        <w:t>PoE</w:t>
      </w:r>
      <w:proofErr w:type="spellEnd"/>
      <w:r>
        <w:rPr>
          <w:color w:val="000000"/>
        </w:rPr>
        <w:t xml:space="preserve">, interní AC, Kapacita přepínače min. 128 </w:t>
      </w:r>
      <w:proofErr w:type="spellStart"/>
      <w:r>
        <w:rPr>
          <w:color w:val="000000"/>
        </w:rPr>
        <w:t>Gbps</w:t>
      </w:r>
      <w:proofErr w:type="spellEnd"/>
      <w:r>
        <w:rPr>
          <w:color w:val="000000"/>
        </w:rPr>
        <w:t xml:space="preserve">, podpora IEEE 802.1X,  IEEE 802.1Q,  IEEE 802.1S, možnost uložení více konfiguračních souborů,  Cena včetně instalace, konfigurace a dopravy. </w:t>
      </w:r>
      <w:r>
        <w:t>Omezená doživotní záruka.</w:t>
      </w:r>
    </w:p>
    <w:p w14:paraId="00000023" w14:textId="77777777" w:rsidR="00845C8C" w:rsidRDefault="00845C8C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24" w14:textId="1FCAE78B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Access point - typ1 </w:t>
      </w:r>
      <w:r w:rsidR="00D63F0B">
        <w:rPr>
          <w:b/>
          <w:color w:val="000000"/>
        </w:rPr>
        <w:t xml:space="preserve"> - </w:t>
      </w:r>
      <w:r>
        <w:rPr>
          <w:b/>
        </w:rPr>
        <w:t>30</w:t>
      </w:r>
      <w:r>
        <w:rPr>
          <w:b/>
          <w:color w:val="000000"/>
        </w:rPr>
        <w:t>x</w:t>
      </w:r>
    </w:p>
    <w:p w14:paraId="00000025" w14:textId="0BD6B030" w:rsidR="00845C8C" w:rsidRDefault="009614D7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W</w:t>
      </w:r>
      <w:r w:rsidR="007246BE">
        <w:rPr>
          <w:color w:val="000000"/>
        </w:rPr>
        <w:t xml:space="preserve">ifi AP pro pokrytí </w:t>
      </w:r>
      <w:proofErr w:type="spellStart"/>
      <w:r w:rsidR="007246BE">
        <w:rPr>
          <w:color w:val="000000"/>
        </w:rPr>
        <w:t>WiFi</w:t>
      </w:r>
      <w:proofErr w:type="spellEnd"/>
      <w:r w:rsidR="007246BE">
        <w:rPr>
          <w:color w:val="000000"/>
        </w:rPr>
        <w:t xml:space="preserve"> signálem 2,4GHz i 5GHz s plnou podporou norem 802.11a/b/g/n/</w:t>
      </w:r>
      <w:proofErr w:type="spellStart"/>
      <w:r w:rsidR="007246BE">
        <w:rPr>
          <w:color w:val="000000"/>
        </w:rPr>
        <w:t>ac</w:t>
      </w:r>
      <w:proofErr w:type="spellEnd"/>
      <w:r w:rsidR="007246BE">
        <w:rPr>
          <w:color w:val="000000"/>
        </w:rPr>
        <w:t>/</w:t>
      </w:r>
      <w:proofErr w:type="spellStart"/>
      <w:r w:rsidR="007246BE">
        <w:rPr>
          <w:color w:val="000000"/>
        </w:rPr>
        <w:t>ax</w:t>
      </w:r>
      <w:proofErr w:type="spellEnd"/>
      <w:r w:rsidR="007246BE">
        <w:rPr>
          <w:color w:val="000000"/>
        </w:rPr>
        <w:t>, podpora protokolu IEEE 802.1X, 802.1Q, podpora WPA</w:t>
      </w:r>
      <w:r w:rsidR="007246BE">
        <w:t>3</w:t>
      </w:r>
      <w:r w:rsidR="007246BE">
        <w:rPr>
          <w:color w:val="000000"/>
        </w:rPr>
        <w:t xml:space="preserve">, </w:t>
      </w:r>
      <w:proofErr w:type="spellStart"/>
      <w:r w:rsidR="007246BE">
        <w:rPr>
          <w:color w:val="000000"/>
        </w:rPr>
        <w:t>PoE</w:t>
      </w:r>
      <w:proofErr w:type="spellEnd"/>
      <w:r w:rsidR="007246BE">
        <w:rPr>
          <w:color w:val="000000"/>
        </w:rPr>
        <w:t xml:space="preserve">, </w:t>
      </w:r>
      <w:proofErr w:type="spellStart"/>
      <w:r w:rsidR="007246BE">
        <w:rPr>
          <w:color w:val="000000"/>
        </w:rPr>
        <w:t>multi</w:t>
      </w:r>
      <w:proofErr w:type="spellEnd"/>
      <w:r w:rsidR="007246BE">
        <w:rPr>
          <w:color w:val="000000"/>
        </w:rPr>
        <w:t xml:space="preserve"> SSID, Centrální správa formou interního virtuálního </w:t>
      </w:r>
      <w:proofErr w:type="spellStart"/>
      <w:r w:rsidR="007246BE">
        <w:rPr>
          <w:color w:val="000000"/>
        </w:rPr>
        <w:t>kontroleru</w:t>
      </w:r>
      <w:proofErr w:type="spellEnd"/>
      <w:r w:rsidR="007246BE">
        <w:rPr>
          <w:color w:val="000000"/>
        </w:rPr>
        <w:t xml:space="preserve">, který je součásti systému AP, podpora mechanismu izolace klientů, </w:t>
      </w:r>
      <w:r w:rsidR="007246BE">
        <w:t xml:space="preserve">interní antény, </w:t>
      </w:r>
      <w:r w:rsidR="007246BE">
        <w:rPr>
          <w:color w:val="000000"/>
        </w:rPr>
        <w:t xml:space="preserve">propustnost min. 1,2 </w:t>
      </w:r>
      <w:proofErr w:type="spellStart"/>
      <w:r w:rsidR="007246BE">
        <w:rPr>
          <w:color w:val="000000"/>
        </w:rPr>
        <w:t>Gb</w:t>
      </w:r>
      <w:proofErr w:type="spellEnd"/>
      <w:r w:rsidR="007246BE">
        <w:rPr>
          <w:color w:val="000000"/>
        </w:rPr>
        <w:t>/s v pásmu 5 GHz (2x2 MIMO) a 57</w:t>
      </w:r>
      <w:r w:rsidR="007246BE">
        <w:t>0</w:t>
      </w:r>
      <w:r w:rsidR="007246BE">
        <w:rPr>
          <w:color w:val="000000"/>
        </w:rPr>
        <w:t xml:space="preserve"> Mb/s v pásmu 2.4 GHz (2x2 MIMO), minimálně 1x 10/100/1000 RJ-45 LAN, držák s možností přichycení na zeď i strop. Cena včetně instalace, konfigurace a dopravy.</w:t>
      </w:r>
    </w:p>
    <w:p w14:paraId="00000026" w14:textId="77777777" w:rsidR="00845C8C" w:rsidRDefault="00845C8C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00000027" w14:textId="4237195B" w:rsidR="00845C8C" w:rsidRDefault="007246BE" w:rsidP="009614D7">
      <w:pPr>
        <w:ind w:left="0" w:hanging="2"/>
        <w:jc w:val="both"/>
      </w:pPr>
      <w:r>
        <w:rPr>
          <w:b/>
        </w:rPr>
        <w:t xml:space="preserve">Access point - typ2 </w:t>
      </w:r>
      <w:r w:rsidR="00D63F0B">
        <w:rPr>
          <w:b/>
        </w:rPr>
        <w:t xml:space="preserve">  - </w:t>
      </w:r>
      <w:r>
        <w:rPr>
          <w:b/>
        </w:rPr>
        <w:t>7x</w:t>
      </w:r>
    </w:p>
    <w:p w14:paraId="00000028" w14:textId="7F68F632" w:rsidR="00845C8C" w:rsidRDefault="009614D7" w:rsidP="009614D7">
      <w:pPr>
        <w:ind w:left="0" w:hanging="2"/>
        <w:jc w:val="both"/>
      </w:pPr>
      <w:r>
        <w:t>W</w:t>
      </w:r>
      <w:r w:rsidR="007246BE">
        <w:t xml:space="preserve">ifi AP pro pokrytí </w:t>
      </w:r>
      <w:proofErr w:type="spellStart"/>
      <w:r w:rsidR="007246BE">
        <w:t>WiFi</w:t>
      </w:r>
      <w:proofErr w:type="spellEnd"/>
      <w:r w:rsidR="007246BE">
        <w:t xml:space="preserve"> signálem 2,4GHz i 5GHz s plnou podporou norem 802.11a/b/g/n/</w:t>
      </w:r>
      <w:proofErr w:type="spellStart"/>
      <w:r w:rsidR="007246BE">
        <w:t>ac</w:t>
      </w:r>
      <w:proofErr w:type="spellEnd"/>
      <w:r w:rsidR="007246BE">
        <w:t>/</w:t>
      </w:r>
      <w:proofErr w:type="spellStart"/>
      <w:r w:rsidR="007246BE">
        <w:t>ax</w:t>
      </w:r>
      <w:proofErr w:type="spellEnd"/>
      <w:r w:rsidR="007246BE">
        <w:t xml:space="preserve">, podpora protokolu IEEE 802.1X, 802.1Q, podpora WPA3, </w:t>
      </w:r>
      <w:proofErr w:type="spellStart"/>
      <w:r w:rsidR="007246BE">
        <w:t>PoE</w:t>
      </w:r>
      <w:proofErr w:type="spellEnd"/>
      <w:r w:rsidR="007246BE">
        <w:t xml:space="preserve">, </w:t>
      </w:r>
      <w:proofErr w:type="spellStart"/>
      <w:r w:rsidR="007246BE">
        <w:t>multi</w:t>
      </w:r>
      <w:proofErr w:type="spellEnd"/>
      <w:r w:rsidR="007246BE">
        <w:t xml:space="preserve"> SSID, Centrální správa formou interního virtuálního </w:t>
      </w:r>
      <w:proofErr w:type="spellStart"/>
      <w:r w:rsidR="007246BE">
        <w:t>kontroleru</w:t>
      </w:r>
      <w:proofErr w:type="spellEnd"/>
      <w:r w:rsidR="007246BE">
        <w:t xml:space="preserve">, který je součásti systému AP, podpora mechanismu izolace klientů, interní antény, propustnost min. 2,4 </w:t>
      </w:r>
      <w:proofErr w:type="spellStart"/>
      <w:r w:rsidR="007246BE">
        <w:t>Gb</w:t>
      </w:r>
      <w:proofErr w:type="spellEnd"/>
      <w:r w:rsidR="007246BE">
        <w:t>/s v pásmu 5 GHz (4x4 MIMO) a 570 Mb/s v pásmu 2.4 GHz (2x2 MIMO), minimálně 1 x 10/100/1000 RJ-45 LAN, držák s možností přichycení na zeď i strop. Cena včetně instalace, konfigurace a dopravy.</w:t>
      </w:r>
    </w:p>
    <w:p w14:paraId="00000029" w14:textId="77777777" w:rsidR="00845C8C" w:rsidRDefault="00845C8C" w:rsidP="009614D7">
      <w:pPr>
        <w:ind w:left="0" w:hanging="2"/>
        <w:jc w:val="both"/>
      </w:pPr>
    </w:p>
    <w:p w14:paraId="0000002A" w14:textId="0804CEE9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UPS pro Hlavní rozvaděč 1</w:t>
      </w:r>
      <w:r w:rsidR="00D63F0B">
        <w:rPr>
          <w:b/>
          <w:color w:val="000000"/>
        </w:rPr>
        <w:t xml:space="preserve"> ks</w:t>
      </w:r>
    </w:p>
    <w:p w14:paraId="0000002B" w14:textId="0C959BEB" w:rsidR="00845C8C" w:rsidRDefault="009614D7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Z</w:t>
      </w:r>
      <w:r w:rsidR="007246BE">
        <w:rPr>
          <w:color w:val="000000"/>
        </w:rPr>
        <w:t>áložní zdroj min. 2200VA, Line Interaktivní, porty minimálně 1x IEC 320 C19 a 8x IEC 320 C13, možnost nastavení funkcí jednotky UPS pomocí LAN Karty pro správu, montáž do Racku max. 2U. Cena včetně dopravy, montáže, instalace, odzkoušení</w:t>
      </w:r>
    </w:p>
    <w:p w14:paraId="0000002C" w14:textId="77777777" w:rsidR="00845C8C" w:rsidRDefault="00845C8C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2D" w14:textId="77777777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Záložní NAS 1x Soubor</w:t>
      </w:r>
    </w:p>
    <w:p w14:paraId="0000002E" w14:textId="70CCCB6B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NAS pro montáž do racku, Procesor min. 4 jádra, paměť min. 4GB DDR4, min. 4x pozice pro HDD 3,5"", disky vyměnitelné za provozu. Podpora: RAID 0,</w:t>
      </w:r>
      <w:r w:rsidR="006F4F57">
        <w:rPr>
          <w:color w:val="000000"/>
        </w:rPr>
        <w:t xml:space="preserve"> </w:t>
      </w:r>
      <w:r>
        <w:rPr>
          <w:color w:val="000000"/>
        </w:rPr>
        <w:t xml:space="preserve">1, 5, 6, 10, USB: min. 2 x USB 3.0 port, Ethernet: min. 4x 1 </w:t>
      </w:r>
      <w:proofErr w:type="spellStart"/>
      <w:r>
        <w:rPr>
          <w:color w:val="000000"/>
        </w:rPr>
        <w:t>GbE</w:t>
      </w:r>
      <w:proofErr w:type="spellEnd"/>
      <w:r>
        <w:rPr>
          <w:color w:val="000000"/>
        </w:rPr>
        <w:t xml:space="preserve">. </w:t>
      </w:r>
    </w:p>
    <w:p w14:paraId="0000002F" w14:textId="77777777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4 ks HDD min. 4TB, určené výrobcem pro NAS řešení 24/7,</w:t>
      </w:r>
    </w:p>
    <w:p w14:paraId="00000030" w14:textId="77777777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Cena včetně licence, dopravy, montáže, instalace, odzkoušení</w:t>
      </w:r>
    </w:p>
    <w:p w14:paraId="00000031" w14:textId="77777777" w:rsidR="00845C8C" w:rsidRDefault="00845C8C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00000032" w14:textId="77777777" w:rsidR="00845C8C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18"/>
          <w:szCs w:val="18"/>
        </w:rPr>
      </w:pPr>
      <w:r>
        <w:rPr>
          <w:b/>
        </w:rPr>
        <w:t>Rádiový spoj 60 GHz s 5 GHz zálohou</w:t>
      </w:r>
    </w:p>
    <w:p w14:paraId="00000033" w14:textId="3F8B6984" w:rsidR="00845C8C" w:rsidRDefault="009614D7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18"/>
          <w:szCs w:val="18"/>
        </w:rPr>
      </w:pPr>
      <w:r>
        <w:t xml:space="preserve">Bezdrátový </w:t>
      </w:r>
      <w:r w:rsidR="007246BE">
        <w:t>spoj 60GHz + 5GHz záloha, jednotka s L3 licencí pro PTP i PTMP instalaci v pásmu 60GHz pracující se standardem 802.11ad, který v reálném provozu umožňuje propustnost až 1000Mbps Full Duplex, 5GHz záložní konektivita s podporou standardu 802.11a/n/</w:t>
      </w:r>
      <w:proofErr w:type="spellStart"/>
      <w:r w:rsidR="007246BE">
        <w:t>ac</w:t>
      </w:r>
      <w:proofErr w:type="spellEnd"/>
      <w:r w:rsidR="007246BE">
        <w:t xml:space="preserve">, min. 1x 10/100/1000Mbps port s podporou pasivního </w:t>
      </w:r>
      <w:proofErr w:type="spellStart"/>
      <w:r w:rsidR="007246BE">
        <w:t>PoE</w:t>
      </w:r>
      <w:proofErr w:type="spellEnd"/>
      <w:r w:rsidR="007246BE">
        <w:t xml:space="preserve"> 10 až 57V DC a zároveň podporou norem 802.3af/</w:t>
      </w:r>
      <w:proofErr w:type="spellStart"/>
      <w:r w:rsidR="007246BE">
        <w:t>at</w:t>
      </w:r>
      <w:proofErr w:type="spellEnd"/>
      <w:r w:rsidR="007246BE">
        <w:t>. POE injektory, Cena včetně instalace, konfigurace a dopravy.</w:t>
      </w:r>
    </w:p>
    <w:p w14:paraId="00000034" w14:textId="7A9FCFBC" w:rsidR="00845C8C" w:rsidRDefault="00845C8C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35" w14:textId="750035C3" w:rsidR="00845C8C" w:rsidRDefault="009614D7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Z</w:t>
      </w:r>
      <w:r w:rsidR="007246BE">
        <w:rPr>
          <w:b/>
          <w:color w:val="000000"/>
        </w:rPr>
        <w:t>pracování dokumentace standardu konektivity 1x</w:t>
      </w:r>
    </w:p>
    <w:p w14:paraId="7874DAF2" w14:textId="053EBB92" w:rsidR="00C83C5D" w:rsidRDefault="007246BE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Dodavatel se zavazuje zpracovat a předat podklady k prokázání splnění Standardu konektivity školy formou </w:t>
      </w:r>
      <w:r>
        <w:t>závěrečné</w:t>
      </w:r>
      <w:r w:rsidR="00C83C5D">
        <w:rPr>
          <w:color w:val="000000"/>
        </w:rPr>
        <w:t xml:space="preserve"> technické zprávy. Výstupy budou splňovat povinné a minimální požadavky pro konektivitu školy a připojení k internetu dle dokumentu „Standard konektivity škol“ v platné verzi vydaný ministerstvem mládeže a tělovýchovy v červenci 2022 pod č.j. MSMT-16039/2022-2, který je k dispozici na adrese:</w:t>
      </w:r>
    </w:p>
    <w:p w14:paraId="00000036" w14:textId="4A965B70" w:rsidR="00845C8C" w:rsidRDefault="002C2822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hyperlink r:id="rId6" w:history="1">
        <w:r w:rsidR="00C83C5D" w:rsidRPr="005D5E13">
          <w:rPr>
            <w:rStyle w:val="Hypertextovodkaz"/>
          </w:rPr>
          <w:t>https://www.edu.cz/digitalizujeme/standard-konektivity-skol/</w:t>
        </w:r>
      </w:hyperlink>
    </w:p>
    <w:p w14:paraId="59A58894" w14:textId="7D754384" w:rsidR="00C83C5D" w:rsidRDefault="00C83C5D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ABEA56B" w14:textId="77777777" w:rsidR="009614D7" w:rsidRDefault="009614D7" w:rsidP="009614D7">
      <w:pPr>
        <w:pStyle w:val="Zkladntext"/>
        <w:tabs>
          <w:tab w:val="left" w:pos="284"/>
          <w:tab w:val="left" w:pos="2268"/>
        </w:tabs>
        <w:spacing w:before="120"/>
        <w:ind w:left="0" w:hanging="2"/>
        <w:jc w:val="both"/>
        <w:rPr>
          <w:b/>
          <w:sz w:val="22"/>
          <w:szCs w:val="22"/>
        </w:rPr>
      </w:pPr>
    </w:p>
    <w:p w14:paraId="499B9450" w14:textId="77777777" w:rsidR="009614D7" w:rsidRDefault="009614D7" w:rsidP="009614D7">
      <w:pPr>
        <w:pStyle w:val="Zkladntext"/>
        <w:tabs>
          <w:tab w:val="left" w:pos="284"/>
          <w:tab w:val="left" w:pos="2268"/>
        </w:tabs>
        <w:spacing w:before="120"/>
        <w:ind w:left="0" w:hanging="2"/>
        <w:jc w:val="both"/>
        <w:rPr>
          <w:b/>
          <w:sz w:val="22"/>
          <w:szCs w:val="22"/>
        </w:rPr>
      </w:pPr>
    </w:p>
    <w:p w14:paraId="56E5612C" w14:textId="0EDCD9C8" w:rsidR="00DE03E8" w:rsidRDefault="00DE03E8" w:rsidP="009614D7">
      <w:pPr>
        <w:pStyle w:val="Zkladntext"/>
        <w:tabs>
          <w:tab w:val="left" w:pos="284"/>
          <w:tab w:val="left" w:pos="2268"/>
        </w:tabs>
        <w:spacing w:before="120"/>
        <w:ind w:left="0" w:hanging="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Pozn.:</w:t>
      </w:r>
    </w:p>
    <w:p w14:paraId="1F0D94E4" w14:textId="5F790AE4" w:rsidR="009614D7" w:rsidRDefault="009614D7" w:rsidP="009614D7">
      <w:pPr>
        <w:pStyle w:val="Zkladntext"/>
        <w:tabs>
          <w:tab w:val="left" w:pos="284"/>
          <w:tab w:val="left" w:pos="2268"/>
        </w:tabs>
        <w:spacing w:before="120"/>
        <w:ind w:left="0" w:hanging="2"/>
        <w:jc w:val="both"/>
        <w:rPr>
          <w:b/>
          <w:sz w:val="22"/>
          <w:szCs w:val="22"/>
        </w:rPr>
      </w:pPr>
      <w:r w:rsidRPr="009614D7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9614D7">
        <w:rPr>
          <w:b/>
          <w:sz w:val="22"/>
          <w:szCs w:val="22"/>
        </w:rPr>
        <w:t>Celý systém jako celek musí nezbytně splňovat podmínky odstavce „sítě LAN“ z bodu „Parametry konektivity“ uvedení níže v technické zprávě.</w:t>
      </w:r>
    </w:p>
    <w:p w14:paraId="61CE5EDA" w14:textId="3F2C550F" w:rsidR="00DE03E8" w:rsidRPr="00F92B67" w:rsidRDefault="009614D7" w:rsidP="009614D7">
      <w:pPr>
        <w:pStyle w:val="Zkladntext"/>
        <w:tabs>
          <w:tab w:val="left" w:pos="284"/>
          <w:tab w:val="left" w:pos="2268"/>
        </w:tabs>
        <w:spacing w:before="120"/>
        <w:ind w:left="0" w:hanging="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DE03E8" w:rsidRPr="00F92B67">
        <w:rPr>
          <w:b/>
          <w:sz w:val="22"/>
          <w:szCs w:val="22"/>
        </w:rPr>
        <w:t xml:space="preserve">Veškeré vybavení systému aktivními prvky (server, </w:t>
      </w:r>
      <w:proofErr w:type="spellStart"/>
      <w:r w:rsidR="00DE03E8" w:rsidRPr="00F92B67">
        <w:rPr>
          <w:b/>
          <w:sz w:val="22"/>
          <w:szCs w:val="22"/>
        </w:rPr>
        <w:t>switche</w:t>
      </w:r>
      <w:proofErr w:type="spellEnd"/>
      <w:r w:rsidR="00DE03E8" w:rsidRPr="00F92B67">
        <w:rPr>
          <w:b/>
          <w:sz w:val="22"/>
          <w:szCs w:val="22"/>
        </w:rPr>
        <w:t xml:space="preserve">, </w:t>
      </w:r>
      <w:proofErr w:type="spellStart"/>
      <w:r w:rsidR="00DE03E8" w:rsidRPr="00F92B67">
        <w:rPr>
          <w:b/>
          <w:sz w:val="22"/>
          <w:szCs w:val="22"/>
        </w:rPr>
        <w:t>WiFi</w:t>
      </w:r>
      <w:proofErr w:type="spellEnd"/>
      <w:r w:rsidR="00DE03E8" w:rsidRPr="00F92B67">
        <w:rPr>
          <w:b/>
          <w:sz w:val="22"/>
          <w:szCs w:val="22"/>
        </w:rPr>
        <w:t xml:space="preserve"> </w:t>
      </w:r>
      <w:proofErr w:type="spellStart"/>
      <w:r w:rsidR="00DE03E8" w:rsidRPr="00F92B67">
        <w:rPr>
          <w:b/>
          <w:sz w:val="22"/>
          <w:szCs w:val="22"/>
        </w:rPr>
        <w:t>routery</w:t>
      </w:r>
      <w:proofErr w:type="spellEnd"/>
      <w:r w:rsidR="00DE03E8" w:rsidRPr="00F92B67">
        <w:rPr>
          <w:b/>
          <w:sz w:val="22"/>
          <w:szCs w:val="22"/>
        </w:rPr>
        <w:t xml:space="preserve">, SFP moduly, UPS vč. příslušného software) je nezbytné předem předložit zástupci investora ke schválení a odsouhlasení. To je nezbytné s ohledem na požadavky na kvalitu a vlastnosti daných komponent, které jsou požadovány pro splnění podmínek dotace. </w:t>
      </w:r>
    </w:p>
    <w:p w14:paraId="4519AB8F" w14:textId="22C7FD10" w:rsidR="00DE03E8" w:rsidRPr="00F92B67" w:rsidRDefault="00DE03E8" w:rsidP="009614D7">
      <w:pPr>
        <w:pStyle w:val="Zkladntext"/>
        <w:tabs>
          <w:tab w:val="left" w:pos="284"/>
          <w:tab w:val="left" w:pos="2268"/>
        </w:tabs>
        <w:spacing w:before="120"/>
        <w:ind w:left="0" w:hanging="2"/>
        <w:jc w:val="both"/>
        <w:rPr>
          <w:b/>
          <w:sz w:val="22"/>
          <w:szCs w:val="22"/>
        </w:rPr>
      </w:pPr>
      <w:r w:rsidRPr="00F92B67">
        <w:rPr>
          <w:b/>
          <w:sz w:val="22"/>
          <w:szCs w:val="22"/>
        </w:rPr>
        <w:tab/>
      </w:r>
      <w:r w:rsidR="009614D7">
        <w:rPr>
          <w:b/>
          <w:sz w:val="22"/>
          <w:szCs w:val="22"/>
        </w:rPr>
        <w:tab/>
      </w:r>
      <w:r w:rsidRPr="00F92B67">
        <w:rPr>
          <w:b/>
          <w:sz w:val="22"/>
          <w:szCs w:val="22"/>
        </w:rPr>
        <w:t>Veškeré použité vybavení musí být dodáno nové a nepoužité. Nesmí být použito použité či repasované zařízení.</w:t>
      </w:r>
    </w:p>
    <w:p w14:paraId="16AC0F29" w14:textId="77777777" w:rsidR="00DE03E8" w:rsidRDefault="00DE03E8" w:rsidP="00961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sectPr w:rsidR="00DE03E8">
      <w:pgSz w:w="11906" w:h="16838"/>
      <w:pgMar w:top="851" w:right="566" w:bottom="709" w:left="709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221F9"/>
    <w:multiLevelType w:val="multilevel"/>
    <w:tmpl w:val="2266E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C8C"/>
    <w:rsid w:val="000B5779"/>
    <w:rsid w:val="002C2822"/>
    <w:rsid w:val="00422585"/>
    <w:rsid w:val="006F4F57"/>
    <w:rsid w:val="00716974"/>
    <w:rsid w:val="007246BE"/>
    <w:rsid w:val="00845C8C"/>
    <w:rsid w:val="008C49DA"/>
    <w:rsid w:val="009614D7"/>
    <w:rsid w:val="00BE4413"/>
    <w:rsid w:val="00C83C5D"/>
    <w:rsid w:val="00D63F0B"/>
    <w:rsid w:val="00DE03E8"/>
    <w:rsid w:val="00E0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FB9F"/>
  <w15:docId w15:val="{C13F6C7D-2061-4842-BF6B-A7D11138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1" w:lineRule="atLeast"/>
      <w:ind w:leftChars="-1" w:left="-1" w:hangingChars="1"/>
      <w:textDirection w:val="btLr"/>
      <w:textAlignment w:val="top"/>
      <w:outlineLvl w:val="0"/>
    </w:pPr>
    <w:rPr>
      <w:kern w:val="2"/>
      <w:position w:val="-1"/>
      <w:lang w:eastAsia="zh-CN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adpis"/>
    <w:next w:val="Zkladntext"/>
    <w:uiPriority w:val="9"/>
    <w:semiHidden/>
    <w:unhideWhenUsed/>
    <w:qFormat/>
    <w:pPr>
      <w:numPr>
        <w:ilvl w:val="2"/>
        <w:numId w:val="1"/>
      </w:numPr>
      <w:spacing w:before="140"/>
      <w:ind w:left="-1" w:hanging="1"/>
      <w:outlineLvl w:val="2"/>
    </w:pPr>
    <w:rPr>
      <w:rFonts w:ascii="Liberation Serif" w:eastAsia="NSimSun" w:hAnsi="Liberation Serif"/>
      <w:b/>
      <w:bCs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npsmoodstavce1">
    <w:name w:val="Standardní písmo odstavce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styleId="Siln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Symbolyproslovn">
    <w:name w:val="Symboly pro číslování"/>
    <w:rPr>
      <w:w w:val="100"/>
      <w:position w:val="-1"/>
      <w:effect w:val="none"/>
      <w:vertAlign w:val="baseline"/>
      <w:cs w:val="0"/>
      <w:em w:val="none"/>
    </w:rPr>
  </w:style>
  <w:style w:type="character" w:styleId="Hypertextovodkaz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itulek1">
    <w:name w:val="Titulek1"/>
    <w:basedOn w:val="Normln"/>
    <w:pPr>
      <w:suppressLineNumbers/>
      <w:spacing w:before="120" w:after="120"/>
    </w:pPr>
    <w:rPr>
      <w:i/>
      <w:iCs/>
    </w:rPr>
  </w:style>
  <w:style w:type="paragraph" w:styleId="Normlnweb">
    <w:name w:val="Normal (Web)"/>
    <w:basedOn w:val="Normln"/>
    <w:pPr>
      <w:spacing w:before="280" w:after="280"/>
    </w:pPr>
  </w:style>
  <w:style w:type="paragraph" w:customStyle="1" w:styleId="z-TopofForm">
    <w:name w:val="z-Top of Form"/>
    <w:basedOn w:val="Normln"/>
    <w:next w:val="Normln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z-BottomofForm">
    <w:name w:val="z-Bottom of Form"/>
    <w:basedOn w:val="Normln"/>
    <w:next w:val="Normln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edu.cz/digitalizujeme/standard-konektivity-sko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SyOmQinEUCmIMKOJ1JanXdOFJUQ==">AMUW2mXHoZoDHv7ET1Lw9G8bdIfyCjWeOLyaHqf7nBvraWJJQosqK/ptrcUmPyV9Zik8+UaOu6sbNsIQk7HIR9EioN9yDFXp7ISsCN3uojTvUBm4p1xfP1VwHI4PfNiCU2va4vFGzbat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1078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Správce</dc:creator>
  <cp:lastModifiedBy>Maslovská Jana</cp:lastModifiedBy>
  <cp:revision>13</cp:revision>
  <dcterms:created xsi:type="dcterms:W3CDTF">2024-03-12T06:58:00Z</dcterms:created>
  <dcterms:modified xsi:type="dcterms:W3CDTF">2024-04-16T09:21:00Z</dcterms:modified>
</cp:coreProperties>
</file>