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132EB" w14:textId="73514B7C" w:rsidR="00DF2934" w:rsidRPr="00C47DDA" w:rsidRDefault="00DF2934" w:rsidP="00C110B1">
      <w:pPr>
        <w:spacing w:after="0"/>
        <w:jc w:val="center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 w:rsidRPr="00C47DDA">
        <w:rPr>
          <w:b/>
          <w:sz w:val="32"/>
          <w:szCs w:val="32"/>
          <w:u w:val="single"/>
        </w:rPr>
        <w:t xml:space="preserve">Technická příloha pro požadavky na zajištění </w:t>
      </w:r>
      <w:r w:rsidR="0041129B">
        <w:rPr>
          <w:b/>
          <w:sz w:val="32"/>
          <w:szCs w:val="32"/>
          <w:u w:val="single"/>
        </w:rPr>
        <w:t xml:space="preserve">kvality </w:t>
      </w:r>
      <w:r w:rsidR="002F4EC0">
        <w:rPr>
          <w:b/>
          <w:sz w:val="32"/>
          <w:szCs w:val="32"/>
          <w:u w:val="single"/>
        </w:rPr>
        <w:t xml:space="preserve">výstavby, montáže a </w:t>
      </w:r>
      <w:r w:rsidRPr="00C47DDA">
        <w:rPr>
          <w:b/>
          <w:sz w:val="32"/>
          <w:szCs w:val="32"/>
          <w:u w:val="single"/>
        </w:rPr>
        <w:t>jakosti při svařování</w:t>
      </w:r>
      <w:r w:rsidR="00935CCA">
        <w:rPr>
          <w:b/>
          <w:sz w:val="32"/>
          <w:szCs w:val="32"/>
          <w:u w:val="single"/>
        </w:rPr>
        <w:t xml:space="preserve"> včetně provádění NDT</w:t>
      </w:r>
      <w:r w:rsidR="00C35C92">
        <w:rPr>
          <w:b/>
          <w:sz w:val="32"/>
          <w:szCs w:val="32"/>
          <w:u w:val="single"/>
        </w:rPr>
        <w:t xml:space="preserve"> kontrol</w:t>
      </w:r>
    </w:p>
    <w:p w14:paraId="28229064" w14:textId="77777777" w:rsidR="000A1341" w:rsidRDefault="004821B9" w:rsidP="000A1341">
      <w:pPr>
        <w:pStyle w:val="Nadpis1"/>
        <w:tabs>
          <w:tab w:val="num" w:pos="432"/>
        </w:tabs>
        <w:spacing w:before="240"/>
        <w:ind w:left="432" w:hanging="432"/>
        <w:rPr>
          <w:rFonts w:asciiTheme="minorHAnsi" w:hAnsiTheme="minorHAnsi"/>
          <w:sz w:val="24"/>
          <w:szCs w:val="24"/>
        </w:rPr>
      </w:pPr>
      <w:r w:rsidRPr="00935CCA">
        <w:rPr>
          <w:rFonts w:asciiTheme="minorHAnsi" w:hAnsiTheme="minorHAnsi"/>
          <w:sz w:val="24"/>
          <w:szCs w:val="24"/>
        </w:rPr>
        <w:t>Technické požadavky</w:t>
      </w:r>
      <w:r w:rsidR="000A1341">
        <w:rPr>
          <w:rFonts w:asciiTheme="minorHAnsi" w:hAnsiTheme="minorHAnsi"/>
          <w:sz w:val="24"/>
          <w:szCs w:val="24"/>
        </w:rPr>
        <w:t xml:space="preserve"> pro akci: </w:t>
      </w:r>
    </w:p>
    <w:p w14:paraId="0E73FE01" w14:textId="2262241D" w:rsidR="00E5590B" w:rsidRPr="00E5590B" w:rsidRDefault="000A1341" w:rsidP="00E5590B">
      <w:pPr>
        <w:pStyle w:val="Nadpis1"/>
        <w:tabs>
          <w:tab w:val="num" w:pos="432"/>
        </w:tabs>
        <w:spacing w:before="240"/>
        <w:ind w:left="432" w:hanging="432"/>
        <w:rPr>
          <w:rFonts w:asciiTheme="minorHAnsi" w:hAnsiTheme="minorHAnsi"/>
          <w:sz w:val="28"/>
          <w:szCs w:val="28"/>
        </w:rPr>
      </w:pPr>
      <w:r w:rsidRPr="00594985">
        <w:rPr>
          <w:rFonts w:asciiTheme="minorHAnsi" w:hAnsiTheme="minorHAnsi"/>
          <w:sz w:val="28"/>
          <w:szCs w:val="28"/>
        </w:rPr>
        <w:t>„</w:t>
      </w:r>
      <w:r w:rsidR="00564D8A" w:rsidRPr="00564D8A">
        <w:rPr>
          <w:rFonts w:asciiTheme="minorHAnsi" w:hAnsiTheme="minorHAnsi"/>
          <w:sz w:val="28"/>
          <w:szCs w:val="28"/>
        </w:rPr>
        <w:t>Přeložka teplovodního kanálu u č.p. 1799 v Karviné-Mizerově</w:t>
      </w:r>
      <w:r w:rsidRPr="00594985">
        <w:rPr>
          <w:rFonts w:asciiTheme="minorHAnsi" w:hAnsiTheme="minorHAnsi"/>
          <w:sz w:val="28"/>
          <w:szCs w:val="28"/>
        </w:rPr>
        <w:t>“</w:t>
      </w:r>
    </w:p>
    <w:p w14:paraId="041A9777" w14:textId="0FFB7359" w:rsidR="00935CCA" w:rsidRDefault="00935CCA" w:rsidP="00DF2934">
      <w:pPr>
        <w:pStyle w:val="Zkladntextodsazen3"/>
        <w:ind w:left="0"/>
        <w:jc w:val="both"/>
        <w:rPr>
          <w:rFonts w:asciiTheme="minorHAnsi" w:hAnsiTheme="minorHAnsi"/>
          <w:sz w:val="20"/>
          <w:szCs w:val="20"/>
        </w:rPr>
      </w:pPr>
    </w:p>
    <w:p w14:paraId="37E76048" w14:textId="06E1F3BA" w:rsidR="004D13C0" w:rsidRPr="00935CCA" w:rsidRDefault="004D13C0" w:rsidP="006371D8">
      <w:pPr>
        <w:pStyle w:val="Zkladntextodsazen3"/>
        <w:numPr>
          <w:ilvl w:val="0"/>
          <w:numId w:val="7"/>
        </w:numPr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935CCA">
        <w:rPr>
          <w:rFonts w:asciiTheme="minorHAnsi" w:hAnsiTheme="minorHAnsi"/>
          <w:b/>
          <w:bCs/>
          <w:sz w:val="20"/>
          <w:szCs w:val="20"/>
          <w:u w:val="single"/>
        </w:rPr>
        <w:t xml:space="preserve">Požadavky na </w:t>
      </w:r>
      <w:r>
        <w:rPr>
          <w:rFonts w:asciiTheme="minorHAnsi" w:hAnsiTheme="minorHAnsi"/>
          <w:b/>
          <w:bCs/>
          <w:sz w:val="20"/>
          <w:szCs w:val="20"/>
          <w:u w:val="single"/>
        </w:rPr>
        <w:t>montáž, realizaci a svařování</w:t>
      </w:r>
      <w:r w:rsidRPr="00935CCA">
        <w:rPr>
          <w:rFonts w:asciiTheme="minorHAnsi" w:hAnsiTheme="minorHAnsi"/>
          <w:b/>
          <w:bCs/>
          <w:sz w:val="20"/>
          <w:szCs w:val="20"/>
          <w:u w:val="single"/>
        </w:rPr>
        <w:t>:</w:t>
      </w:r>
    </w:p>
    <w:p w14:paraId="4F96DE0F" w14:textId="0081D29B" w:rsidR="0022588B" w:rsidRPr="00564D8A" w:rsidRDefault="00174126" w:rsidP="00564D8A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 w:rsidRPr="0022588B">
        <w:rPr>
          <w:rFonts w:asciiTheme="minorHAnsi" w:hAnsiTheme="minorHAnsi"/>
          <w:sz w:val="20"/>
          <w:szCs w:val="20"/>
        </w:rPr>
        <w:t xml:space="preserve">Všechny stavení a montážní práce budou probíhat dle schválené projektové dokumentace </w:t>
      </w:r>
      <w:r w:rsidR="00564D8A">
        <w:rPr>
          <w:rFonts w:asciiTheme="minorHAnsi" w:hAnsiTheme="minorHAnsi"/>
          <w:sz w:val="20"/>
          <w:szCs w:val="20"/>
        </w:rPr>
        <w:t>změna stavby před dokončením</w:t>
      </w:r>
      <w:r w:rsidRPr="0022588B">
        <w:rPr>
          <w:rFonts w:asciiTheme="minorHAnsi" w:hAnsiTheme="minorHAnsi"/>
          <w:sz w:val="20"/>
          <w:szCs w:val="20"/>
        </w:rPr>
        <w:t xml:space="preserve"> „</w:t>
      </w:r>
      <w:r w:rsidR="00564D8A" w:rsidRPr="00564D8A">
        <w:rPr>
          <w:rFonts w:asciiTheme="minorHAnsi" w:hAnsiTheme="minorHAnsi"/>
          <w:b/>
          <w:bCs/>
          <w:sz w:val="20"/>
          <w:szCs w:val="20"/>
        </w:rPr>
        <w:t>Přeložka teplovodního kanálu u č.p. 1799 v Karviné-Mizerově</w:t>
      </w:r>
      <w:r w:rsidR="0022588B" w:rsidRPr="00564D8A">
        <w:rPr>
          <w:rFonts w:asciiTheme="minorHAnsi" w:hAnsiTheme="minorHAnsi"/>
          <w:sz w:val="20"/>
          <w:szCs w:val="20"/>
        </w:rPr>
        <w:t>“ z 1</w:t>
      </w:r>
      <w:r w:rsidR="00564D8A">
        <w:rPr>
          <w:rFonts w:asciiTheme="minorHAnsi" w:hAnsiTheme="minorHAnsi"/>
          <w:sz w:val="20"/>
          <w:szCs w:val="20"/>
        </w:rPr>
        <w:t>0</w:t>
      </w:r>
      <w:r w:rsidR="0022588B" w:rsidRPr="00564D8A">
        <w:rPr>
          <w:rFonts w:asciiTheme="minorHAnsi" w:hAnsiTheme="minorHAnsi"/>
          <w:sz w:val="20"/>
          <w:szCs w:val="20"/>
        </w:rPr>
        <w:t>/2019.</w:t>
      </w:r>
    </w:p>
    <w:p w14:paraId="42658724" w14:textId="106AE012" w:rsidR="004D13C0" w:rsidRDefault="00FD4B23" w:rsidP="004D13C0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Svařovat při realizaci mohou pouze svářeči s platným osvědčením dle ČSN EN ISO 9606-1 v požadovaném rozsahu. Při svařování v </w:t>
      </w:r>
      <w:proofErr w:type="spellStart"/>
      <w:r>
        <w:rPr>
          <w:rFonts w:asciiTheme="minorHAnsi" w:hAnsiTheme="minorHAnsi"/>
          <w:sz w:val="20"/>
          <w:szCs w:val="20"/>
        </w:rPr>
        <w:t>energokanále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r w:rsidR="00847092">
        <w:rPr>
          <w:rFonts w:asciiTheme="minorHAnsi" w:hAnsiTheme="minorHAnsi"/>
          <w:sz w:val="20"/>
          <w:szCs w:val="20"/>
        </w:rPr>
        <w:t xml:space="preserve">nebo </w:t>
      </w:r>
      <w:r>
        <w:rPr>
          <w:rFonts w:asciiTheme="minorHAnsi" w:hAnsiTheme="minorHAnsi"/>
          <w:sz w:val="20"/>
          <w:szCs w:val="20"/>
        </w:rPr>
        <w:t xml:space="preserve">při propojovacích pracích při stísněných podmínkách jsou výhodou </w:t>
      </w:r>
      <w:r w:rsidR="00E921CA">
        <w:rPr>
          <w:rFonts w:asciiTheme="minorHAnsi" w:hAnsiTheme="minorHAnsi"/>
          <w:sz w:val="20"/>
          <w:szCs w:val="20"/>
        </w:rPr>
        <w:t xml:space="preserve">při výběrovém řízení </w:t>
      </w:r>
      <w:r>
        <w:rPr>
          <w:rFonts w:asciiTheme="minorHAnsi" w:hAnsiTheme="minorHAnsi"/>
          <w:sz w:val="20"/>
          <w:szCs w:val="20"/>
        </w:rPr>
        <w:t xml:space="preserve">certifikáty svářeče </w:t>
      </w:r>
      <w:r w:rsidR="00E921CA">
        <w:rPr>
          <w:rFonts w:asciiTheme="minorHAnsi" w:hAnsiTheme="minorHAnsi"/>
          <w:sz w:val="20"/>
          <w:szCs w:val="20"/>
        </w:rPr>
        <w:t xml:space="preserve">včetně </w:t>
      </w:r>
      <w:r>
        <w:rPr>
          <w:rFonts w:asciiTheme="minorHAnsi" w:hAnsiTheme="minorHAnsi"/>
          <w:sz w:val="20"/>
          <w:szCs w:val="20"/>
        </w:rPr>
        <w:t>doplňkové zkoušky dle čl. 10 normy ČSN EN 12732.</w:t>
      </w:r>
      <w:r w:rsidR="00E921CA">
        <w:rPr>
          <w:rFonts w:asciiTheme="minorHAnsi" w:hAnsiTheme="minorHAnsi"/>
          <w:sz w:val="20"/>
          <w:szCs w:val="20"/>
        </w:rPr>
        <w:t xml:space="preserve"> </w:t>
      </w:r>
      <w:r w:rsidR="00121701">
        <w:rPr>
          <w:rFonts w:asciiTheme="minorHAnsi" w:hAnsiTheme="minorHAnsi"/>
          <w:sz w:val="20"/>
          <w:szCs w:val="20"/>
        </w:rPr>
        <w:t>Upřednos</w:t>
      </w:r>
      <w:r w:rsidR="00201822">
        <w:rPr>
          <w:rFonts w:asciiTheme="minorHAnsi" w:hAnsiTheme="minorHAnsi"/>
          <w:sz w:val="20"/>
          <w:szCs w:val="20"/>
        </w:rPr>
        <w:t>tň</w:t>
      </w:r>
      <w:r w:rsidR="00121701">
        <w:rPr>
          <w:rFonts w:asciiTheme="minorHAnsi" w:hAnsiTheme="minorHAnsi"/>
          <w:sz w:val="20"/>
          <w:szCs w:val="20"/>
        </w:rPr>
        <w:t xml:space="preserve">uje se svařování </w:t>
      </w:r>
      <w:proofErr w:type="spellStart"/>
      <w:r w:rsidR="00121701">
        <w:rPr>
          <w:rFonts w:asciiTheme="minorHAnsi" w:hAnsiTheme="minorHAnsi"/>
          <w:sz w:val="20"/>
          <w:szCs w:val="20"/>
        </w:rPr>
        <w:t>beztruskovou</w:t>
      </w:r>
      <w:proofErr w:type="spellEnd"/>
      <w:r w:rsidR="00121701">
        <w:rPr>
          <w:rFonts w:asciiTheme="minorHAnsi" w:hAnsiTheme="minorHAnsi"/>
          <w:sz w:val="20"/>
          <w:szCs w:val="20"/>
        </w:rPr>
        <w:t xml:space="preserve"> metodou kořenové vrstvy, tj. metodou 141 (TIG) nebo metodou 135 (MAG)</w:t>
      </w:r>
      <w:r w:rsidR="00013D08">
        <w:rPr>
          <w:rFonts w:asciiTheme="minorHAnsi" w:hAnsiTheme="minorHAnsi"/>
          <w:sz w:val="20"/>
          <w:szCs w:val="20"/>
        </w:rPr>
        <w:t xml:space="preserve"> buď samostatně nebo v kombinaci jiných metod svařování na které má zhotovitel schválené WPQR a vypracovány příslušné WPS k odsouhlasení TDS.</w:t>
      </w:r>
    </w:p>
    <w:p w14:paraId="5CE1DD47" w14:textId="42FFC806" w:rsidR="00174126" w:rsidRPr="00174126" w:rsidRDefault="00174126" w:rsidP="00174126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Zhotovitel zajistí dle platného předpisu ČSN EN ISO 14731:2020 - </w:t>
      </w:r>
      <w:r w:rsidRPr="00174126">
        <w:rPr>
          <w:rFonts w:asciiTheme="minorHAnsi" w:hAnsiTheme="minorHAnsi"/>
          <w:sz w:val="20"/>
          <w:szCs w:val="20"/>
        </w:rPr>
        <w:t>Svářečský dozor - Úkoly a odpovědnosti</w:t>
      </w:r>
      <w:r w:rsidR="00742330">
        <w:rPr>
          <w:rFonts w:asciiTheme="minorHAnsi" w:hAnsiTheme="minorHAnsi"/>
          <w:sz w:val="20"/>
          <w:szCs w:val="20"/>
        </w:rPr>
        <w:t xml:space="preserve"> včetně pověření o vykonávání této funkce za zhotovitele.</w:t>
      </w:r>
    </w:p>
    <w:p w14:paraId="4F67AB42" w14:textId="33901057" w:rsidR="00742330" w:rsidRDefault="00174126" w:rsidP="00174126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Při realizaci zakázky </w:t>
      </w:r>
      <w:r w:rsidR="00742330">
        <w:rPr>
          <w:rFonts w:asciiTheme="minorHAnsi" w:hAnsiTheme="minorHAnsi"/>
          <w:sz w:val="20"/>
          <w:szCs w:val="20"/>
        </w:rPr>
        <w:t xml:space="preserve">je </w:t>
      </w:r>
      <w:r w:rsidR="00075C51">
        <w:rPr>
          <w:rFonts w:asciiTheme="minorHAnsi" w:hAnsiTheme="minorHAnsi"/>
          <w:sz w:val="20"/>
          <w:szCs w:val="20"/>
        </w:rPr>
        <w:t xml:space="preserve">požadavek </w:t>
      </w:r>
      <w:r w:rsidR="009A6A65">
        <w:rPr>
          <w:rFonts w:asciiTheme="minorHAnsi" w:hAnsiTheme="minorHAnsi"/>
          <w:sz w:val="20"/>
          <w:szCs w:val="20"/>
        </w:rPr>
        <w:t>na</w:t>
      </w:r>
      <w:r w:rsidR="00742330">
        <w:rPr>
          <w:rFonts w:asciiTheme="minorHAnsi" w:hAnsiTheme="minorHAnsi"/>
          <w:sz w:val="20"/>
          <w:szCs w:val="20"/>
        </w:rPr>
        <w:t xml:space="preserve"> zhotovitele </w:t>
      </w:r>
      <w:r>
        <w:rPr>
          <w:rFonts w:asciiTheme="minorHAnsi" w:hAnsiTheme="minorHAnsi"/>
          <w:sz w:val="20"/>
          <w:szCs w:val="20"/>
        </w:rPr>
        <w:t xml:space="preserve">při svařování </w:t>
      </w:r>
      <w:r w:rsidR="00742330">
        <w:rPr>
          <w:rFonts w:asciiTheme="minorHAnsi" w:hAnsiTheme="minorHAnsi"/>
          <w:sz w:val="20"/>
          <w:szCs w:val="20"/>
        </w:rPr>
        <w:t xml:space="preserve">zajistit </w:t>
      </w:r>
      <w:r>
        <w:rPr>
          <w:rFonts w:asciiTheme="minorHAnsi" w:hAnsiTheme="minorHAnsi"/>
          <w:sz w:val="20"/>
          <w:szCs w:val="20"/>
        </w:rPr>
        <w:t>v minimáln</w:t>
      </w:r>
      <w:r w:rsidR="00742330">
        <w:rPr>
          <w:rFonts w:asciiTheme="minorHAnsi" w:hAnsiTheme="minorHAnsi"/>
          <w:sz w:val="20"/>
          <w:szCs w:val="20"/>
        </w:rPr>
        <w:t>í</w:t>
      </w:r>
      <w:r>
        <w:rPr>
          <w:rFonts w:asciiTheme="minorHAnsi" w:hAnsiTheme="minorHAnsi"/>
          <w:sz w:val="20"/>
          <w:szCs w:val="20"/>
        </w:rPr>
        <w:t xml:space="preserve"> kvalifikaci technolog</w:t>
      </w:r>
      <w:r w:rsidR="00742330">
        <w:rPr>
          <w:rFonts w:asciiTheme="minorHAnsi" w:hAnsiTheme="minorHAnsi"/>
          <w:sz w:val="20"/>
          <w:szCs w:val="20"/>
        </w:rPr>
        <w:t xml:space="preserve">a </w:t>
      </w:r>
      <w:r>
        <w:rPr>
          <w:rFonts w:asciiTheme="minorHAnsi" w:hAnsiTheme="minorHAnsi"/>
          <w:sz w:val="20"/>
          <w:szCs w:val="20"/>
        </w:rPr>
        <w:t>svařování EWT/IWT nebo inženýr</w:t>
      </w:r>
      <w:r w:rsidR="00742330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 xml:space="preserve"> svařování EWE/IWT</w:t>
      </w:r>
      <w:r w:rsidR="00742330">
        <w:rPr>
          <w:rFonts w:asciiTheme="minorHAnsi" w:hAnsiTheme="minorHAnsi"/>
          <w:sz w:val="20"/>
          <w:szCs w:val="20"/>
        </w:rPr>
        <w:t xml:space="preserve"> s platným diplomem</w:t>
      </w:r>
      <w:r>
        <w:rPr>
          <w:rFonts w:asciiTheme="minorHAnsi" w:hAnsiTheme="minorHAnsi"/>
          <w:sz w:val="20"/>
          <w:szCs w:val="20"/>
        </w:rPr>
        <w:t>.</w:t>
      </w:r>
      <w:r w:rsidR="00742330">
        <w:rPr>
          <w:rFonts w:asciiTheme="minorHAnsi" w:hAnsiTheme="minorHAnsi"/>
          <w:sz w:val="20"/>
          <w:szCs w:val="20"/>
        </w:rPr>
        <w:t xml:space="preserve"> Tyto doklady jsou rovněž předmětem předložení dokladů při výběrovém řízení.</w:t>
      </w:r>
    </w:p>
    <w:p w14:paraId="38CFB82A" w14:textId="17D6570D" w:rsidR="0091135D" w:rsidRPr="0091135D" w:rsidRDefault="0091135D" w:rsidP="0091135D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Zhotovitel je povinen předložit </w:t>
      </w:r>
      <w:r w:rsidRPr="0091135D">
        <w:rPr>
          <w:rFonts w:asciiTheme="minorHAnsi" w:hAnsiTheme="minorHAnsi"/>
          <w:sz w:val="20"/>
          <w:szCs w:val="20"/>
        </w:rPr>
        <w:t xml:space="preserve">svářečskou dokumentaci v souladu s ČSN EN 13 480 a řady ISO 15 600. Před realizaci svářečských prací bude </w:t>
      </w:r>
      <w:r>
        <w:rPr>
          <w:rFonts w:asciiTheme="minorHAnsi" w:hAnsiTheme="minorHAnsi"/>
          <w:sz w:val="20"/>
          <w:szCs w:val="20"/>
        </w:rPr>
        <w:t xml:space="preserve">tato požadována dokumentace </w:t>
      </w:r>
      <w:r w:rsidRPr="0091135D">
        <w:rPr>
          <w:rFonts w:asciiTheme="minorHAnsi" w:hAnsiTheme="minorHAnsi"/>
          <w:sz w:val="20"/>
          <w:szCs w:val="20"/>
        </w:rPr>
        <w:t xml:space="preserve">dodána </w:t>
      </w:r>
      <w:r>
        <w:rPr>
          <w:rFonts w:asciiTheme="minorHAnsi" w:hAnsiTheme="minorHAnsi"/>
          <w:sz w:val="20"/>
          <w:szCs w:val="20"/>
        </w:rPr>
        <w:t xml:space="preserve">k odsouhlasení viz. </w:t>
      </w:r>
      <w:r w:rsidRPr="0091135D">
        <w:rPr>
          <w:rFonts w:asciiTheme="minorHAnsi" w:hAnsiTheme="minorHAnsi"/>
          <w:sz w:val="20"/>
          <w:szCs w:val="20"/>
        </w:rPr>
        <w:t>požadovaná dokumentace uvedená v této příloze. Nesplnění požadavků požadovaných touto Technickou přílohou bude posuzováno jako nesplnění podmínek předmětu smlouvy.</w:t>
      </w:r>
    </w:p>
    <w:p w14:paraId="2E3F04DF" w14:textId="678D8A6F" w:rsidR="00174126" w:rsidRDefault="00174126" w:rsidP="00174126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</w:t>
      </w:r>
      <w:r w:rsidR="00742330">
        <w:rPr>
          <w:rFonts w:asciiTheme="minorHAnsi" w:hAnsiTheme="minorHAnsi"/>
          <w:sz w:val="20"/>
          <w:szCs w:val="20"/>
        </w:rPr>
        <w:t> </w:t>
      </w:r>
      <w:r>
        <w:rPr>
          <w:rFonts w:asciiTheme="minorHAnsi" w:hAnsiTheme="minorHAnsi"/>
          <w:sz w:val="20"/>
          <w:szCs w:val="20"/>
        </w:rPr>
        <w:t>případě</w:t>
      </w:r>
      <w:r w:rsidR="00742330">
        <w:rPr>
          <w:rFonts w:asciiTheme="minorHAnsi" w:hAnsiTheme="minorHAnsi"/>
          <w:sz w:val="20"/>
          <w:szCs w:val="20"/>
        </w:rPr>
        <w:t>, že zhotovitel bude</w:t>
      </w:r>
      <w:r>
        <w:rPr>
          <w:rFonts w:asciiTheme="minorHAnsi" w:hAnsiTheme="minorHAnsi"/>
          <w:sz w:val="20"/>
          <w:szCs w:val="20"/>
        </w:rPr>
        <w:t xml:space="preserve"> provádě</w:t>
      </w:r>
      <w:r w:rsidR="00742330">
        <w:rPr>
          <w:rFonts w:asciiTheme="minorHAnsi" w:hAnsiTheme="minorHAnsi"/>
          <w:sz w:val="20"/>
          <w:szCs w:val="20"/>
        </w:rPr>
        <w:t>t</w:t>
      </w:r>
      <w:r>
        <w:rPr>
          <w:rFonts w:asciiTheme="minorHAnsi" w:hAnsiTheme="minorHAnsi"/>
          <w:sz w:val="20"/>
          <w:szCs w:val="20"/>
        </w:rPr>
        <w:t xml:space="preserve"> 100% vizuální kontrol</w:t>
      </w:r>
      <w:r w:rsidR="00742330">
        <w:rPr>
          <w:rFonts w:asciiTheme="minorHAnsi" w:hAnsiTheme="minorHAnsi"/>
          <w:sz w:val="20"/>
          <w:szCs w:val="20"/>
        </w:rPr>
        <w:t>u</w:t>
      </w:r>
      <w:r>
        <w:rPr>
          <w:rFonts w:asciiTheme="minorHAnsi" w:hAnsiTheme="minorHAnsi"/>
          <w:sz w:val="20"/>
          <w:szCs w:val="20"/>
        </w:rPr>
        <w:t xml:space="preserve"> tavných svarů </w:t>
      </w:r>
      <w:r w:rsidR="00742330">
        <w:rPr>
          <w:rFonts w:asciiTheme="minorHAnsi" w:hAnsiTheme="minorHAnsi"/>
          <w:sz w:val="20"/>
          <w:szCs w:val="20"/>
        </w:rPr>
        <w:t>svým</w:t>
      </w:r>
      <w:r>
        <w:rPr>
          <w:rFonts w:asciiTheme="minorHAnsi" w:hAnsiTheme="minorHAnsi"/>
          <w:sz w:val="20"/>
          <w:szCs w:val="20"/>
        </w:rPr>
        <w:t xml:space="preserve"> pracovník</w:t>
      </w:r>
      <w:r w:rsidR="00742330">
        <w:rPr>
          <w:rFonts w:asciiTheme="minorHAnsi" w:hAnsiTheme="minorHAnsi"/>
          <w:sz w:val="20"/>
          <w:szCs w:val="20"/>
        </w:rPr>
        <w:t>em s platným</w:t>
      </w:r>
      <w:r>
        <w:rPr>
          <w:rFonts w:asciiTheme="minorHAnsi" w:hAnsiTheme="minorHAnsi"/>
          <w:sz w:val="20"/>
          <w:szCs w:val="20"/>
        </w:rPr>
        <w:t xml:space="preserve"> s certifikátem dle ČSN EN ISO 9712 v minimálním stupni VT2 pro provádění této nedestruktivní metody</w:t>
      </w:r>
      <w:r w:rsidR="00742330">
        <w:rPr>
          <w:rFonts w:asciiTheme="minorHAnsi" w:hAnsiTheme="minorHAnsi"/>
          <w:sz w:val="20"/>
          <w:szCs w:val="20"/>
        </w:rPr>
        <w:t xml:space="preserve"> je rovněž </w:t>
      </w:r>
      <w:r w:rsidR="009A6A65">
        <w:rPr>
          <w:rFonts w:asciiTheme="minorHAnsi" w:hAnsiTheme="minorHAnsi"/>
          <w:sz w:val="20"/>
          <w:szCs w:val="20"/>
        </w:rPr>
        <w:t xml:space="preserve">povinen </w:t>
      </w:r>
      <w:r w:rsidR="00742330">
        <w:rPr>
          <w:rFonts w:asciiTheme="minorHAnsi" w:hAnsiTheme="minorHAnsi"/>
          <w:sz w:val="20"/>
          <w:szCs w:val="20"/>
        </w:rPr>
        <w:t xml:space="preserve">tyto doklady předložit </w:t>
      </w:r>
      <w:r w:rsidR="009A6A65">
        <w:rPr>
          <w:rFonts w:asciiTheme="minorHAnsi" w:hAnsiTheme="minorHAnsi"/>
          <w:sz w:val="20"/>
          <w:szCs w:val="20"/>
        </w:rPr>
        <w:t>ve výběrovém řízení</w:t>
      </w:r>
      <w:r>
        <w:rPr>
          <w:rFonts w:asciiTheme="minorHAnsi" w:hAnsiTheme="minorHAnsi"/>
          <w:sz w:val="20"/>
          <w:szCs w:val="20"/>
        </w:rPr>
        <w:t xml:space="preserve">. Případně lze tuto metodu VT a další NDT kontroly zajistit </w:t>
      </w:r>
      <w:r w:rsidR="00956960">
        <w:rPr>
          <w:rFonts w:asciiTheme="minorHAnsi" w:hAnsiTheme="minorHAnsi"/>
          <w:sz w:val="20"/>
          <w:szCs w:val="20"/>
        </w:rPr>
        <w:t>pod</w:t>
      </w:r>
      <w:r>
        <w:rPr>
          <w:rFonts w:asciiTheme="minorHAnsi" w:hAnsiTheme="minorHAnsi"/>
          <w:sz w:val="20"/>
          <w:szCs w:val="20"/>
        </w:rPr>
        <w:t>dodavatelsky, avšak je zde požadavek na TRVALOU přítomnost pracovníka provádějící vizuální kontrolu tavných svar</w:t>
      </w:r>
      <w:r w:rsidR="00742330">
        <w:rPr>
          <w:rFonts w:asciiTheme="minorHAnsi" w:hAnsiTheme="minorHAnsi"/>
          <w:sz w:val="20"/>
          <w:szCs w:val="20"/>
        </w:rPr>
        <w:t xml:space="preserve">ů po ukončení svařování a vychladnutí svarů. Další metody RT, MT či PT lze </w:t>
      </w:r>
      <w:r w:rsidR="0022588B">
        <w:rPr>
          <w:rFonts w:asciiTheme="minorHAnsi" w:hAnsiTheme="minorHAnsi"/>
          <w:sz w:val="20"/>
          <w:szCs w:val="20"/>
        </w:rPr>
        <w:t>po konzultaci s TD</w:t>
      </w:r>
      <w:r w:rsidR="0079740A">
        <w:rPr>
          <w:rFonts w:asciiTheme="minorHAnsi" w:hAnsiTheme="minorHAnsi"/>
          <w:sz w:val="20"/>
          <w:szCs w:val="20"/>
        </w:rPr>
        <w:t>I</w:t>
      </w:r>
      <w:r w:rsidR="0022588B">
        <w:rPr>
          <w:rFonts w:asciiTheme="minorHAnsi" w:hAnsiTheme="minorHAnsi"/>
          <w:sz w:val="20"/>
          <w:szCs w:val="20"/>
        </w:rPr>
        <w:t xml:space="preserve"> </w:t>
      </w:r>
      <w:r w:rsidR="00742330">
        <w:rPr>
          <w:rFonts w:asciiTheme="minorHAnsi" w:hAnsiTheme="minorHAnsi"/>
          <w:sz w:val="20"/>
          <w:szCs w:val="20"/>
        </w:rPr>
        <w:t xml:space="preserve">domlouvat operativně jednotlivě po provedení </w:t>
      </w:r>
      <w:r w:rsidR="009A6A65">
        <w:rPr>
          <w:rFonts w:asciiTheme="minorHAnsi" w:hAnsiTheme="minorHAnsi"/>
          <w:sz w:val="20"/>
          <w:szCs w:val="20"/>
        </w:rPr>
        <w:t xml:space="preserve">ucelených částí trasy </w:t>
      </w:r>
      <w:r w:rsidR="00742330">
        <w:rPr>
          <w:rFonts w:asciiTheme="minorHAnsi" w:hAnsiTheme="minorHAnsi"/>
          <w:sz w:val="20"/>
          <w:szCs w:val="20"/>
        </w:rPr>
        <w:t>tavných svarů před zaizolováním nebo provedením nátěrů vždy za přítomnosti TD</w:t>
      </w:r>
      <w:r w:rsidR="0079740A">
        <w:rPr>
          <w:rFonts w:asciiTheme="minorHAnsi" w:hAnsiTheme="minorHAnsi"/>
          <w:sz w:val="20"/>
          <w:szCs w:val="20"/>
        </w:rPr>
        <w:t>I</w:t>
      </w:r>
      <w:r w:rsidR="00742330">
        <w:rPr>
          <w:rFonts w:asciiTheme="minorHAnsi" w:hAnsiTheme="minorHAnsi"/>
          <w:sz w:val="20"/>
          <w:szCs w:val="20"/>
        </w:rPr>
        <w:t>.</w:t>
      </w:r>
    </w:p>
    <w:p w14:paraId="27364458" w14:textId="5B38AB85" w:rsidR="00174126" w:rsidRPr="0079740A" w:rsidRDefault="00847092" w:rsidP="004D13C0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NDT kontrola VT (</w:t>
      </w:r>
      <w:r w:rsidRPr="0079740A">
        <w:rPr>
          <w:rFonts w:asciiTheme="minorHAnsi" w:hAnsiTheme="minorHAnsi"/>
          <w:sz w:val="20"/>
          <w:szCs w:val="20"/>
        </w:rPr>
        <w:t xml:space="preserve">vizuální kontrola tavných svarů) bude prováděna dle ČSN EN ISO 17637 </w:t>
      </w:r>
      <w:proofErr w:type="gramStart"/>
      <w:r w:rsidRPr="0079740A">
        <w:rPr>
          <w:rFonts w:asciiTheme="minorHAnsi" w:hAnsiTheme="minorHAnsi"/>
          <w:sz w:val="20"/>
          <w:szCs w:val="20"/>
        </w:rPr>
        <w:t>ve 100%</w:t>
      </w:r>
      <w:proofErr w:type="gramEnd"/>
      <w:r w:rsidRPr="0079740A">
        <w:rPr>
          <w:rFonts w:asciiTheme="minorHAnsi" w:hAnsiTheme="minorHAnsi"/>
          <w:sz w:val="20"/>
          <w:szCs w:val="20"/>
        </w:rPr>
        <w:t xml:space="preserve"> svarů a vyhodnocení bude ve stupni přípustnosti B dle ČSN EN ISO 5817</w:t>
      </w:r>
      <w:r w:rsidR="0079740A">
        <w:rPr>
          <w:rFonts w:asciiTheme="minorHAnsi" w:hAnsiTheme="minorHAnsi"/>
          <w:sz w:val="20"/>
          <w:szCs w:val="20"/>
        </w:rPr>
        <w:t>.</w:t>
      </w:r>
    </w:p>
    <w:p w14:paraId="635E3166" w14:textId="012E6C40" w:rsidR="00847092" w:rsidRDefault="0079740A" w:rsidP="004D13C0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Izolaci na potrubí smějí provádět pouze pracovníci s platným průkazem izolatéra a kontrolu provedení těchto izolací smí provádět pouze pracovník s příslušnou kvalifikací pro provádění kontroly izol</w:t>
      </w:r>
      <w:r w:rsidR="00921680">
        <w:rPr>
          <w:rFonts w:asciiTheme="minorHAnsi" w:hAnsiTheme="minorHAnsi"/>
          <w:sz w:val="20"/>
          <w:szCs w:val="20"/>
        </w:rPr>
        <w:t>ací</w:t>
      </w:r>
      <w:r>
        <w:rPr>
          <w:rFonts w:asciiTheme="minorHAnsi" w:hAnsiTheme="minorHAnsi"/>
          <w:sz w:val="20"/>
          <w:szCs w:val="20"/>
        </w:rPr>
        <w:t>.</w:t>
      </w:r>
    </w:p>
    <w:p w14:paraId="0ED919C5" w14:textId="39BE5948" w:rsidR="002057A9" w:rsidRDefault="00DA09A7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Před zahájením prací bude zhotovitelem předložen k odsouhlasení plán zkoušek a kontrol (dále „PKZ“).</w:t>
      </w:r>
    </w:p>
    <w:p w14:paraId="302C95D3" w14:textId="5469D195" w:rsidR="009221FC" w:rsidRDefault="009221FC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Jako součást montáže provádí zhotovitel individuální zkoušky dle požadavků provozovatele a tyto zkoušky předchází všem zkouškách dle schválené projektové dokumentace.</w:t>
      </w:r>
    </w:p>
    <w:p w14:paraId="5673FA45" w14:textId="1110FBB4" w:rsidR="002057A9" w:rsidRDefault="00A80677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Před uvedením do provozu a po provedení montážních prací před zásypem bude provedena zkouška těsnosti pomocí tlakové vody (cca 1,5 bar) po minimální dobu 6 hodin, nicméně lze tuto zkoušku po záhozu nahradit zkouškou pevnosti a těsnosti po minimální dobu 6 hodin a zkušebním přetlakem </w:t>
      </w:r>
      <w:r w:rsidR="009221FC">
        <w:rPr>
          <w:rFonts w:asciiTheme="minorHAnsi" w:hAnsiTheme="minorHAnsi"/>
          <w:sz w:val="20"/>
          <w:szCs w:val="20"/>
        </w:rPr>
        <w:t xml:space="preserve">min. </w:t>
      </w:r>
      <w:r>
        <w:rPr>
          <w:rFonts w:asciiTheme="minorHAnsi" w:hAnsiTheme="minorHAnsi"/>
          <w:sz w:val="20"/>
          <w:szCs w:val="20"/>
        </w:rPr>
        <w:t>1,3x násobku provozního tlaku, tj. 1,5 bar x 1,3 = 1,95 bar</w:t>
      </w:r>
      <w:r w:rsidR="00013D08">
        <w:rPr>
          <w:rFonts w:asciiTheme="minorHAnsi" w:hAnsiTheme="minorHAnsi"/>
          <w:sz w:val="20"/>
          <w:szCs w:val="20"/>
        </w:rPr>
        <w:t>. Po úspěšné tlakové zkoušce proběhne Zkouška funkčnosti zabudovaných armatur. O těchto zkouškách bude sepsán samostatný zápis.</w:t>
      </w:r>
    </w:p>
    <w:p w14:paraId="656A18A8" w14:textId="58EF9CD2" w:rsidR="005D3BE8" w:rsidRDefault="005D3BE8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Po úspěšné zkoušce pevnosti nebo těsnosti nového zařízení následuje </w:t>
      </w:r>
      <w:r w:rsidR="00013D08">
        <w:rPr>
          <w:rFonts w:asciiTheme="minorHAnsi" w:hAnsiTheme="minorHAnsi"/>
          <w:sz w:val="20"/>
          <w:szCs w:val="20"/>
        </w:rPr>
        <w:t>„Topná zkouška“ – ta je součástí komplexního vyzkoušení, avšak v letních měsících bude moci proběhnout pouze na aktuální teploty s tepelné síti</w:t>
      </w:r>
      <w:r w:rsidR="00DF7B5F">
        <w:rPr>
          <w:rFonts w:asciiTheme="minorHAnsi" w:hAnsiTheme="minorHAnsi"/>
          <w:sz w:val="20"/>
          <w:szCs w:val="20"/>
        </w:rPr>
        <w:t xml:space="preserve"> s ohledem na snížený výkon tepelné sítě</w:t>
      </w:r>
      <w:r w:rsidR="00013D08">
        <w:rPr>
          <w:rFonts w:asciiTheme="minorHAnsi" w:hAnsiTheme="minorHAnsi"/>
          <w:sz w:val="20"/>
          <w:szCs w:val="20"/>
        </w:rPr>
        <w:t xml:space="preserve">. Zkouška </w:t>
      </w:r>
      <w:r w:rsidR="00DF7B5F">
        <w:rPr>
          <w:rFonts w:asciiTheme="minorHAnsi" w:hAnsiTheme="minorHAnsi"/>
          <w:sz w:val="20"/>
          <w:szCs w:val="20"/>
        </w:rPr>
        <w:t xml:space="preserve">má délku trvání </w:t>
      </w:r>
      <w:r w:rsidR="00013D08">
        <w:rPr>
          <w:rFonts w:asciiTheme="minorHAnsi" w:hAnsiTheme="minorHAnsi"/>
          <w:sz w:val="20"/>
          <w:szCs w:val="20"/>
        </w:rPr>
        <w:t xml:space="preserve">po provedení odstávky a propojení a napuštění systému minimálně 72 hodin, přičemž tato zkouška bude součástí také Dilatační </w:t>
      </w:r>
      <w:r w:rsidR="00013D08">
        <w:rPr>
          <w:rFonts w:asciiTheme="minorHAnsi" w:hAnsiTheme="minorHAnsi"/>
          <w:sz w:val="20"/>
          <w:szCs w:val="20"/>
        </w:rPr>
        <w:lastRenderedPageBreak/>
        <w:t>zkoušky tam kde to je možné</w:t>
      </w:r>
      <w:r w:rsidR="00DF7B5F">
        <w:rPr>
          <w:rFonts w:asciiTheme="minorHAnsi" w:hAnsiTheme="minorHAnsi"/>
          <w:sz w:val="20"/>
          <w:szCs w:val="20"/>
        </w:rPr>
        <w:t xml:space="preserve"> vizuálně či jinak ověřit</w:t>
      </w:r>
      <w:r w:rsidR="00013D08">
        <w:rPr>
          <w:rFonts w:asciiTheme="minorHAnsi" w:hAnsiTheme="minorHAnsi"/>
          <w:sz w:val="20"/>
          <w:szCs w:val="20"/>
        </w:rPr>
        <w:t>. O těchto zkouškách bude sepsán samostatný zápis</w:t>
      </w:r>
      <w:r w:rsidR="00DF7B5F">
        <w:rPr>
          <w:rFonts w:asciiTheme="minorHAnsi" w:hAnsiTheme="minorHAnsi"/>
          <w:sz w:val="20"/>
          <w:szCs w:val="20"/>
        </w:rPr>
        <w:t xml:space="preserve"> se zápisem do stavebního deníku.</w:t>
      </w:r>
    </w:p>
    <w:p w14:paraId="7B60131B" w14:textId="4C9C61B9" w:rsidR="003A0EA2" w:rsidRDefault="003A0EA2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Zhotovitel je povinen předat objednateli </w:t>
      </w:r>
      <w:r w:rsidR="00921680">
        <w:rPr>
          <w:rFonts w:asciiTheme="minorHAnsi" w:hAnsiTheme="minorHAnsi"/>
          <w:sz w:val="20"/>
          <w:szCs w:val="20"/>
        </w:rPr>
        <w:t>dokumentaci skutečného provedení se zákresem všech změn oproti původní schválené PD.</w:t>
      </w:r>
    </w:p>
    <w:p w14:paraId="1FAD12F2" w14:textId="2C307449" w:rsidR="00DF2934" w:rsidRDefault="00DF2934" w:rsidP="002057A9">
      <w:pPr>
        <w:pStyle w:val="Zkladntextodsazen3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 w:rsidRPr="00A80677">
        <w:rPr>
          <w:rFonts w:asciiTheme="minorHAnsi" w:hAnsiTheme="minorHAnsi"/>
          <w:sz w:val="20"/>
          <w:szCs w:val="20"/>
        </w:rPr>
        <w:t xml:space="preserve">Veškeré svářecí práce </w:t>
      </w:r>
      <w:r w:rsidR="00F9173F" w:rsidRPr="00A80677">
        <w:rPr>
          <w:rFonts w:asciiTheme="minorHAnsi" w:hAnsiTheme="minorHAnsi"/>
          <w:sz w:val="20"/>
          <w:szCs w:val="20"/>
        </w:rPr>
        <w:t xml:space="preserve">projedná zhotovitel díla </w:t>
      </w:r>
      <w:r w:rsidRPr="00A80677">
        <w:rPr>
          <w:rFonts w:asciiTheme="minorHAnsi" w:hAnsiTheme="minorHAnsi"/>
          <w:sz w:val="20"/>
          <w:szCs w:val="20"/>
        </w:rPr>
        <w:t xml:space="preserve">s bezpečnostními a požárními techniky </w:t>
      </w:r>
      <w:r w:rsidR="00F9173F" w:rsidRPr="00A80677">
        <w:rPr>
          <w:rFonts w:asciiTheme="minorHAnsi" w:hAnsiTheme="minorHAnsi"/>
          <w:sz w:val="20"/>
          <w:szCs w:val="20"/>
        </w:rPr>
        <w:t>objednatele</w:t>
      </w:r>
      <w:r w:rsidR="008C3C4A" w:rsidRPr="00A80677">
        <w:rPr>
          <w:rFonts w:asciiTheme="minorHAnsi" w:hAnsiTheme="minorHAnsi"/>
          <w:sz w:val="20"/>
          <w:szCs w:val="20"/>
        </w:rPr>
        <w:t>/správc</w:t>
      </w:r>
      <w:r w:rsidR="00F9173F" w:rsidRPr="00A80677">
        <w:rPr>
          <w:rFonts w:asciiTheme="minorHAnsi" w:hAnsiTheme="minorHAnsi"/>
          <w:sz w:val="20"/>
          <w:szCs w:val="20"/>
        </w:rPr>
        <w:t>e</w:t>
      </w:r>
      <w:r w:rsidR="008C3C4A" w:rsidRPr="00A80677">
        <w:rPr>
          <w:rFonts w:asciiTheme="minorHAnsi" w:hAnsiTheme="minorHAnsi"/>
          <w:sz w:val="20"/>
          <w:szCs w:val="20"/>
        </w:rPr>
        <w:t xml:space="preserve"> zařízení</w:t>
      </w:r>
      <w:r w:rsidRPr="00A80677">
        <w:rPr>
          <w:rFonts w:asciiTheme="minorHAnsi" w:hAnsiTheme="minorHAnsi"/>
          <w:sz w:val="20"/>
          <w:szCs w:val="20"/>
        </w:rPr>
        <w:t>. Výsledek bude písemně doložen v souladu s </w:t>
      </w:r>
      <w:proofErr w:type="spellStart"/>
      <w:r w:rsidRPr="00A80677">
        <w:rPr>
          <w:rFonts w:asciiTheme="minorHAnsi" w:hAnsiTheme="minorHAnsi"/>
          <w:sz w:val="20"/>
          <w:szCs w:val="20"/>
        </w:rPr>
        <w:t>Vyhl</w:t>
      </w:r>
      <w:proofErr w:type="spellEnd"/>
      <w:r w:rsidRPr="00A80677">
        <w:rPr>
          <w:rFonts w:asciiTheme="minorHAnsi" w:hAnsiTheme="minorHAnsi"/>
          <w:sz w:val="20"/>
          <w:szCs w:val="20"/>
        </w:rPr>
        <w:t xml:space="preserve">. č.87/2000 Sb., která stanoví podmínky požární bezpečnosti při svařování. Jedná-li se o práce prováděné v prostorách, jež budou posuzovány jako svařování se </w:t>
      </w:r>
      <w:r w:rsidRPr="00A80677">
        <w:rPr>
          <w:rFonts w:asciiTheme="minorHAnsi" w:hAnsiTheme="minorHAnsi"/>
          <w:b/>
          <w:bCs/>
          <w:sz w:val="20"/>
          <w:szCs w:val="20"/>
        </w:rPr>
        <w:t>zvýšeným nebezpečím</w:t>
      </w:r>
      <w:r w:rsidRPr="00A80677">
        <w:rPr>
          <w:rFonts w:asciiTheme="minorHAnsi" w:hAnsiTheme="minorHAnsi"/>
          <w:sz w:val="20"/>
          <w:szCs w:val="20"/>
        </w:rPr>
        <w:t>, bude postupováno dle ČSN 05 0601</w:t>
      </w:r>
      <w:r w:rsidR="00A80677">
        <w:rPr>
          <w:rFonts w:asciiTheme="minorHAnsi" w:hAnsiTheme="minorHAnsi"/>
          <w:sz w:val="20"/>
          <w:szCs w:val="20"/>
        </w:rPr>
        <w:t xml:space="preserve"> a souvisejících platných předpisů vyplývajících z plánu BOZP a PO.</w:t>
      </w:r>
    </w:p>
    <w:p w14:paraId="4DBC91A6" w14:textId="023FB96A" w:rsidR="00A3209E" w:rsidRPr="00C47DDA" w:rsidRDefault="00E33975" w:rsidP="00A3209E">
      <w:pPr>
        <w:keepNext/>
        <w:tabs>
          <w:tab w:val="left" w:pos="432"/>
        </w:tabs>
        <w:spacing w:before="360" w:after="60" w:line="240" w:lineRule="auto"/>
        <w:ind w:left="431" w:hanging="431"/>
        <w:outlineLvl w:val="0"/>
        <w:rPr>
          <w:rFonts w:eastAsia="Times New Roman" w:cs="Times New Roman"/>
          <w:b/>
          <w:kern w:val="28"/>
          <w:lang w:eastAsia="cs-CZ"/>
        </w:rPr>
      </w:pPr>
      <w:r>
        <w:rPr>
          <w:rFonts w:eastAsia="Times New Roman" w:cs="Times New Roman"/>
          <w:b/>
          <w:kern w:val="28"/>
          <w:lang w:eastAsia="cs-CZ"/>
        </w:rPr>
        <w:t>2</w:t>
      </w:r>
      <w:r w:rsidR="001C5A27" w:rsidRPr="00C47DDA">
        <w:rPr>
          <w:rFonts w:eastAsia="Times New Roman" w:cs="Times New Roman"/>
          <w:b/>
          <w:kern w:val="28"/>
          <w:lang w:eastAsia="cs-CZ"/>
        </w:rPr>
        <w:t>.</w:t>
      </w:r>
      <w:r w:rsidR="005C205F" w:rsidRPr="00C47DDA">
        <w:rPr>
          <w:rFonts w:eastAsia="Times New Roman" w:cs="Times New Roman"/>
          <w:b/>
          <w:kern w:val="28"/>
          <w:lang w:eastAsia="cs-CZ"/>
        </w:rPr>
        <w:t xml:space="preserve"> </w:t>
      </w:r>
      <w:r w:rsidR="00A3209E" w:rsidRPr="00C47DDA">
        <w:rPr>
          <w:rFonts w:eastAsia="Times New Roman" w:cs="Times New Roman"/>
          <w:b/>
          <w:kern w:val="28"/>
          <w:lang w:eastAsia="cs-CZ"/>
        </w:rPr>
        <w:t>Identifikace</w:t>
      </w:r>
      <w:r w:rsidR="002057A9">
        <w:rPr>
          <w:rFonts w:eastAsia="Times New Roman" w:cs="Times New Roman"/>
          <w:b/>
          <w:kern w:val="28"/>
          <w:lang w:eastAsia="cs-CZ"/>
        </w:rPr>
        <w:t xml:space="preserve"> požadavků</w:t>
      </w:r>
      <w:r w:rsidR="009221FC">
        <w:rPr>
          <w:rFonts w:eastAsia="Times New Roman" w:cs="Times New Roman"/>
          <w:b/>
          <w:kern w:val="28"/>
          <w:lang w:eastAsia="cs-CZ"/>
        </w:rPr>
        <w:t xml:space="preserve"> - souhrn</w:t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3"/>
        <w:gridCol w:w="1438"/>
        <w:gridCol w:w="1438"/>
        <w:gridCol w:w="1440"/>
        <w:gridCol w:w="1438"/>
        <w:gridCol w:w="1347"/>
      </w:tblGrid>
      <w:tr w:rsidR="00A77750" w:rsidRPr="00C47DDA" w14:paraId="106F8F3C" w14:textId="77777777" w:rsidTr="009221FC">
        <w:trPr>
          <w:trHeight w:val="815"/>
        </w:trPr>
        <w:tc>
          <w:tcPr>
            <w:tcW w:w="1163" w:type="pct"/>
          </w:tcPr>
          <w:p w14:paraId="0E9D8FA8" w14:textId="77777777" w:rsidR="00A77750" w:rsidRPr="00C47DDA" w:rsidRDefault="00A77750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Rozsah dodávky svářečských prací</w:t>
            </w:r>
          </w:p>
        </w:tc>
        <w:tc>
          <w:tcPr>
            <w:tcW w:w="3837" w:type="pct"/>
            <w:gridSpan w:val="5"/>
          </w:tcPr>
          <w:p w14:paraId="3DE3C88E" w14:textId="405CE8C1" w:rsidR="009221FC" w:rsidRDefault="00863FD4" w:rsidP="002A36D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Popis rozsahu dodavatele:</w:t>
            </w:r>
          </w:p>
          <w:p w14:paraId="00B59A1D" w14:textId="77777777" w:rsidR="009221FC" w:rsidRPr="00C47DDA" w:rsidRDefault="009221FC" w:rsidP="002A36D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  <w:p w14:paraId="364F5037" w14:textId="475A0FC0" w:rsidR="009221FC" w:rsidRDefault="00BC7A88" w:rsidP="009221F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Název poddodavatele</w:t>
            </w:r>
            <w:r w:rsidR="007F4420" w:rsidRPr="00C47DDA">
              <w:rPr>
                <w:rFonts w:eastAsia="Times New Roman" w:cs="Times New Roman"/>
                <w:lang w:eastAsia="cs-CZ"/>
              </w:rPr>
              <w:t>(ů)</w:t>
            </w:r>
            <w:r w:rsidRPr="00C47DDA">
              <w:rPr>
                <w:rFonts w:eastAsia="Times New Roman" w:cs="Times New Roman"/>
                <w:lang w:eastAsia="cs-CZ"/>
              </w:rPr>
              <w:t xml:space="preserve"> a p</w:t>
            </w:r>
            <w:r w:rsidR="00DC37F1" w:rsidRPr="00C47DDA">
              <w:rPr>
                <w:rFonts w:eastAsia="Times New Roman" w:cs="Times New Roman"/>
                <w:lang w:eastAsia="cs-CZ"/>
              </w:rPr>
              <w:t xml:space="preserve">opis </w:t>
            </w:r>
            <w:r w:rsidR="007F4420" w:rsidRPr="00C47DDA">
              <w:rPr>
                <w:rFonts w:eastAsia="Times New Roman" w:cs="Times New Roman"/>
                <w:lang w:eastAsia="cs-CZ"/>
              </w:rPr>
              <w:t xml:space="preserve">jejich </w:t>
            </w:r>
            <w:r w:rsidR="00DC37F1" w:rsidRPr="00C47DDA">
              <w:rPr>
                <w:rFonts w:eastAsia="Times New Roman" w:cs="Times New Roman"/>
                <w:lang w:eastAsia="cs-CZ"/>
              </w:rPr>
              <w:t>rozsahu</w:t>
            </w:r>
            <w:r w:rsidR="00863FD4" w:rsidRPr="00C47DDA">
              <w:rPr>
                <w:rFonts w:eastAsia="Times New Roman" w:cs="Times New Roman"/>
                <w:lang w:eastAsia="cs-CZ"/>
              </w:rPr>
              <w:t>:</w:t>
            </w:r>
          </w:p>
          <w:p w14:paraId="2BA5BDD0" w14:textId="5C4AA2AB" w:rsidR="009221FC" w:rsidRPr="00C47DDA" w:rsidRDefault="009221FC" w:rsidP="009221F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</w:tr>
      <w:tr w:rsidR="00A77750" w:rsidRPr="00C47DDA" w14:paraId="23A95548" w14:textId="77777777" w:rsidTr="001A369D">
        <w:tc>
          <w:tcPr>
            <w:tcW w:w="1163" w:type="pct"/>
          </w:tcPr>
          <w:p w14:paraId="22D6ACE4" w14:textId="4D5300AF" w:rsidR="00A77750" w:rsidRPr="00C47DDA" w:rsidRDefault="00A77750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Druh svařovaných konstrukcí na zakázce</w:t>
            </w:r>
          </w:p>
        </w:tc>
        <w:tc>
          <w:tcPr>
            <w:tcW w:w="3837" w:type="pct"/>
            <w:gridSpan w:val="5"/>
          </w:tcPr>
          <w:p w14:paraId="20B3743B" w14:textId="61446DC3" w:rsidR="00A77750" w:rsidRPr="00C47DDA" w:rsidRDefault="000A32D5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Zaškrtávací1"/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bookmarkEnd w:id="0"/>
            <w:r w:rsidR="00A77750" w:rsidRPr="00C47DDA">
              <w:rPr>
                <w:rFonts w:eastAsia="Times New Roman" w:cs="Times New Roman"/>
                <w:lang w:eastAsia="cs-CZ"/>
              </w:rPr>
              <w:t xml:space="preserve"> Ocelové konstrukce</w:t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9221FC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21FC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9221FC"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Tlaková zařízení</w:t>
            </w:r>
          </w:p>
          <w:p w14:paraId="1F7EC743" w14:textId="638DCC50" w:rsidR="00A77750" w:rsidRPr="00C47DDA" w:rsidRDefault="000A32D5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Tepelné sítě</w:t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9221FC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21FC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9221FC"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Kotle, trubky, parovody</w:t>
            </w:r>
          </w:p>
          <w:p w14:paraId="5DAF2849" w14:textId="48480397" w:rsidR="00A77750" w:rsidRPr="00C47DDA" w:rsidRDefault="009221FC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</w:t>
            </w:r>
            <w:r>
              <w:rPr>
                <w:rFonts w:eastAsia="Times New Roman" w:cs="Times New Roman"/>
                <w:lang w:eastAsia="cs-CZ"/>
              </w:rPr>
              <w:t>Potrubí aj.</w:t>
            </w:r>
          </w:p>
        </w:tc>
      </w:tr>
      <w:tr w:rsidR="00A77750" w:rsidRPr="00C47DDA" w14:paraId="2A6B01B0" w14:textId="77777777" w:rsidTr="00A77750">
        <w:tc>
          <w:tcPr>
            <w:tcW w:w="1163" w:type="pct"/>
          </w:tcPr>
          <w:p w14:paraId="3239800D" w14:textId="77777777" w:rsidR="00A77750" w:rsidRPr="00C47DDA" w:rsidRDefault="00A77750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Předpokládané metody svařování dle EN ISO 4063</w:t>
            </w:r>
          </w:p>
        </w:tc>
        <w:tc>
          <w:tcPr>
            <w:tcW w:w="777" w:type="pct"/>
          </w:tcPr>
          <w:p w14:paraId="62F244D8" w14:textId="0B8D0436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       </w:t>
            </w:r>
            <w:r w:rsidR="000A32D5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0A32D5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111</w:t>
            </w:r>
          </w:p>
          <w:p w14:paraId="0347EF4F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ruční obloukové svař. obalenou elektrodou</w:t>
            </w:r>
          </w:p>
        </w:tc>
        <w:tc>
          <w:tcPr>
            <w:tcW w:w="777" w:type="pct"/>
          </w:tcPr>
          <w:p w14:paraId="79B45F32" w14:textId="2B08AFF3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      </w:t>
            </w:r>
            <w:r w:rsidR="000A32D5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0A32D5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135</w:t>
            </w:r>
          </w:p>
          <w:p w14:paraId="17B4F588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MIG /MAG svařování</w:t>
            </w:r>
          </w:p>
        </w:tc>
        <w:tc>
          <w:tcPr>
            <w:tcW w:w="778" w:type="pct"/>
          </w:tcPr>
          <w:p w14:paraId="143C3042" w14:textId="337A2965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       </w:t>
            </w:r>
            <w:r w:rsidR="000A32D5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0A32D5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141</w:t>
            </w:r>
          </w:p>
          <w:p w14:paraId="64142340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TIG/WIG svařování</w:t>
            </w:r>
          </w:p>
        </w:tc>
        <w:tc>
          <w:tcPr>
            <w:tcW w:w="777" w:type="pct"/>
          </w:tcPr>
          <w:p w14:paraId="73992ED4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311</w:t>
            </w:r>
          </w:p>
          <w:p w14:paraId="56A68063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proofErr w:type="spellStart"/>
            <w:r w:rsidRPr="00C47DDA">
              <w:rPr>
                <w:rFonts w:eastAsia="Times New Roman" w:cs="Times New Roman"/>
                <w:lang w:eastAsia="cs-CZ"/>
              </w:rPr>
              <w:t>kyslíko</w:t>
            </w:r>
            <w:proofErr w:type="spellEnd"/>
            <w:r w:rsidRPr="00C47DDA">
              <w:rPr>
                <w:rFonts w:eastAsia="Times New Roman" w:cs="Times New Roman"/>
                <w:lang w:eastAsia="cs-CZ"/>
              </w:rPr>
              <w:t>-acetylenové svařování</w:t>
            </w:r>
          </w:p>
        </w:tc>
        <w:tc>
          <w:tcPr>
            <w:tcW w:w="728" w:type="pct"/>
          </w:tcPr>
          <w:p w14:paraId="4C983C17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jiná</w:t>
            </w:r>
          </w:p>
          <w:p w14:paraId="07462E4D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7750" w:rsidRPr="00C47DDA" w14:paraId="2F582A37" w14:textId="77777777" w:rsidTr="00A77750">
        <w:tc>
          <w:tcPr>
            <w:tcW w:w="1163" w:type="pct"/>
          </w:tcPr>
          <w:p w14:paraId="662C7BE0" w14:textId="77777777" w:rsidR="00A77750" w:rsidRPr="00C47DDA" w:rsidRDefault="00A77750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Skupina(y) základních materiálů dle CR ISO 15608</w:t>
            </w:r>
          </w:p>
        </w:tc>
        <w:tc>
          <w:tcPr>
            <w:tcW w:w="777" w:type="pct"/>
          </w:tcPr>
          <w:p w14:paraId="53993064" w14:textId="21189547" w:rsidR="00A77750" w:rsidRPr="00C47DDA" w:rsidRDefault="000A32D5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1</w:t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9221FC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21FC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9221FC"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8</w:t>
            </w:r>
          </w:p>
          <w:p w14:paraId="36E25B5F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6</w:t>
            </w:r>
            <w:r w:rsidRPr="00C47DDA">
              <w:rPr>
                <w:rFonts w:eastAsia="Times New Roman" w:cs="Times New Roman"/>
                <w:lang w:eastAsia="cs-CZ"/>
              </w:rPr>
              <w:tab/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>...</w:t>
            </w:r>
          </w:p>
        </w:tc>
        <w:tc>
          <w:tcPr>
            <w:tcW w:w="777" w:type="pct"/>
          </w:tcPr>
          <w:p w14:paraId="24D82CB2" w14:textId="31AFF556" w:rsidR="00A77750" w:rsidRPr="00C47DDA" w:rsidRDefault="000A32D5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1</w:t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9221FC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21FC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9221FC"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8</w:t>
            </w:r>
          </w:p>
          <w:p w14:paraId="143772B2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6</w:t>
            </w:r>
            <w:r w:rsidRPr="00C47DDA">
              <w:rPr>
                <w:rFonts w:eastAsia="Times New Roman" w:cs="Times New Roman"/>
                <w:lang w:eastAsia="cs-CZ"/>
              </w:rPr>
              <w:tab/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>...</w:t>
            </w:r>
          </w:p>
        </w:tc>
        <w:tc>
          <w:tcPr>
            <w:tcW w:w="778" w:type="pct"/>
          </w:tcPr>
          <w:p w14:paraId="2E37DBD3" w14:textId="3C93D1EF" w:rsidR="00A77750" w:rsidRPr="00C47DDA" w:rsidRDefault="000A32D5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1</w:t>
            </w:r>
            <w:r w:rsidR="00A77750" w:rsidRPr="00C47DDA">
              <w:rPr>
                <w:rFonts w:eastAsia="Times New Roman" w:cs="Times New Roman"/>
                <w:lang w:eastAsia="cs-CZ"/>
              </w:rPr>
              <w:tab/>
            </w:r>
            <w:r w:rsidR="009221FC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21FC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9221FC">
              <w:rPr>
                <w:rFonts w:eastAsia="Times New Roman" w:cs="Times New Roman"/>
                <w:lang w:eastAsia="cs-CZ"/>
              </w:rPr>
              <w:fldChar w:fldCharType="end"/>
            </w:r>
            <w:r w:rsidR="00A77750" w:rsidRPr="00C47DDA">
              <w:rPr>
                <w:rFonts w:eastAsia="Times New Roman" w:cs="Times New Roman"/>
                <w:lang w:eastAsia="cs-CZ"/>
              </w:rPr>
              <w:t xml:space="preserve"> 8</w:t>
            </w:r>
          </w:p>
          <w:p w14:paraId="2FF8FA3B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6</w:t>
            </w:r>
            <w:r w:rsidRPr="00C47DDA">
              <w:rPr>
                <w:rFonts w:eastAsia="Times New Roman" w:cs="Times New Roman"/>
                <w:lang w:eastAsia="cs-CZ"/>
              </w:rPr>
              <w:tab/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>...</w:t>
            </w:r>
          </w:p>
        </w:tc>
        <w:tc>
          <w:tcPr>
            <w:tcW w:w="777" w:type="pct"/>
          </w:tcPr>
          <w:p w14:paraId="7DA47555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1</w:t>
            </w:r>
            <w:r w:rsidRPr="00C47DDA">
              <w:rPr>
                <w:rFonts w:eastAsia="Times New Roman" w:cs="Times New Roman"/>
                <w:lang w:eastAsia="cs-CZ"/>
              </w:rPr>
              <w:tab/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8</w:t>
            </w:r>
          </w:p>
          <w:p w14:paraId="29363E28" w14:textId="77777777" w:rsidR="00A77750" w:rsidRPr="00C47DDA" w:rsidRDefault="00A77750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6</w:t>
            </w:r>
            <w:r w:rsidRPr="00C47DDA">
              <w:rPr>
                <w:rFonts w:eastAsia="Times New Roman" w:cs="Times New Roman"/>
                <w:lang w:eastAsia="cs-CZ"/>
              </w:rPr>
              <w:tab/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>...</w:t>
            </w:r>
          </w:p>
        </w:tc>
        <w:tc>
          <w:tcPr>
            <w:tcW w:w="728" w:type="pct"/>
          </w:tcPr>
          <w:p w14:paraId="20FB5D2C" w14:textId="77777777" w:rsidR="00A77750" w:rsidRPr="00C47DDA" w:rsidRDefault="00A77750" w:rsidP="00D8078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1</w:t>
            </w:r>
            <w:r w:rsidR="00D93D20" w:rsidRPr="00C47DDA">
              <w:rPr>
                <w:rFonts w:eastAsia="Times New Roman" w:cs="Times New Roman"/>
                <w:lang w:eastAsia="cs-CZ"/>
              </w:rPr>
              <w:t xml:space="preserve">  </w:t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8</w:t>
            </w:r>
          </w:p>
          <w:p w14:paraId="66323640" w14:textId="77777777" w:rsidR="00A77750" w:rsidRPr="00C47DDA" w:rsidRDefault="00A77750" w:rsidP="00D8078C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6</w:t>
            </w:r>
            <w:r w:rsidR="00D93D20" w:rsidRPr="00C47DDA">
              <w:rPr>
                <w:rFonts w:eastAsia="Times New Roman" w:cs="Times New Roman"/>
                <w:lang w:eastAsia="cs-CZ"/>
              </w:rPr>
              <w:t xml:space="preserve">  </w:t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>...</w:t>
            </w:r>
          </w:p>
        </w:tc>
      </w:tr>
    </w:tbl>
    <w:p w14:paraId="64584836" w14:textId="77777777" w:rsidR="00A3209E" w:rsidRPr="00E33975" w:rsidRDefault="00A3209E" w:rsidP="00A3209E">
      <w:pPr>
        <w:spacing w:after="0" w:line="240" w:lineRule="auto"/>
        <w:rPr>
          <w:rFonts w:eastAsia="Times New Roman" w:cs="Times New Roman"/>
          <w:sz w:val="20"/>
          <w:lang w:eastAsia="cs-CZ"/>
        </w:rPr>
      </w:pPr>
      <w:bookmarkStart w:id="1" w:name="_GoBack"/>
      <w:r w:rsidRPr="00E33975">
        <w:rPr>
          <w:rFonts w:eastAsia="Times New Roman" w:cs="Times New Roman"/>
          <w:sz w:val="20"/>
          <w:lang w:eastAsia="cs-CZ"/>
        </w:rPr>
        <w:t xml:space="preserve">Číselné označení skupin základních materiálů: 1 - Oceli (uhlíkové) s minimální mezí kluzu </w:t>
      </w:r>
      <w:proofErr w:type="spellStart"/>
      <w:r w:rsidRPr="00E33975">
        <w:rPr>
          <w:rFonts w:eastAsia="Times New Roman" w:cs="Times New Roman"/>
          <w:sz w:val="20"/>
          <w:lang w:eastAsia="cs-CZ"/>
        </w:rPr>
        <w:t>ReH</w:t>
      </w:r>
      <w:proofErr w:type="spellEnd"/>
      <w:r w:rsidRPr="00E33975">
        <w:rPr>
          <w:rFonts w:eastAsia="Times New Roman" w:cs="Times New Roman"/>
          <w:sz w:val="20"/>
          <w:lang w:eastAsia="cs-CZ"/>
        </w:rPr>
        <w:t xml:space="preserve"> </w:t>
      </w:r>
      <w:r w:rsidRPr="00E33975">
        <w:rPr>
          <w:rFonts w:eastAsia="Times New Roman" w:cs="Times New Roman"/>
          <w:sz w:val="20"/>
          <w:lang w:eastAsia="cs-CZ"/>
        </w:rPr>
        <w:sym w:font="Symbol" w:char="F0A3"/>
      </w:r>
      <w:r w:rsidRPr="00E33975">
        <w:rPr>
          <w:rFonts w:eastAsia="Times New Roman" w:cs="Times New Roman"/>
          <w:sz w:val="20"/>
          <w:lang w:eastAsia="cs-CZ"/>
        </w:rPr>
        <w:t xml:space="preserve"> 460 N/mm</w:t>
      </w:r>
      <w:r w:rsidRPr="00E33975">
        <w:rPr>
          <w:rFonts w:eastAsia="Times New Roman" w:cs="Times New Roman"/>
          <w:sz w:val="20"/>
          <w:vertAlign w:val="superscript"/>
          <w:lang w:eastAsia="cs-CZ"/>
        </w:rPr>
        <w:t>2</w:t>
      </w:r>
      <w:r w:rsidRPr="00E33975">
        <w:rPr>
          <w:rFonts w:eastAsia="Times New Roman" w:cs="Times New Roman"/>
          <w:sz w:val="20"/>
          <w:lang w:eastAsia="cs-CZ"/>
        </w:rPr>
        <w:t xml:space="preserve">, 6 - Oceli s vysokým obsahem vanadu, legované </w:t>
      </w:r>
      <w:proofErr w:type="spellStart"/>
      <w:r w:rsidRPr="00E33975">
        <w:rPr>
          <w:rFonts w:eastAsia="Times New Roman" w:cs="Times New Roman"/>
          <w:sz w:val="20"/>
          <w:lang w:eastAsia="cs-CZ"/>
        </w:rPr>
        <w:t>Cr-Mo</w:t>
      </w:r>
      <w:proofErr w:type="spellEnd"/>
      <w:r w:rsidRPr="00E33975">
        <w:rPr>
          <w:rFonts w:eastAsia="Times New Roman" w:cs="Times New Roman"/>
          <w:sz w:val="20"/>
          <w:lang w:eastAsia="cs-CZ"/>
        </w:rPr>
        <w:t>-(Ni), 8 - Austenitické korozivzdorné oceli</w:t>
      </w:r>
    </w:p>
    <w:bookmarkEnd w:id="1"/>
    <w:p w14:paraId="22797258" w14:textId="2F9D14A9" w:rsidR="004821B9" w:rsidRDefault="004821B9" w:rsidP="00A320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13BA68C6" w14:textId="77777777" w:rsidR="00761E00" w:rsidRPr="004D6CB8" w:rsidRDefault="00761E00" w:rsidP="00A320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52AF248B" w14:textId="4522D781" w:rsidR="00A3209E" w:rsidRPr="00C47DDA" w:rsidRDefault="00E33975" w:rsidP="00301C02">
      <w:pPr>
        <w:keepNext/>
        <w:tabs>
          <w:tab w:val="left" w:pos="0"/>
          <w:tab w:val="left" w:pos="5954"/>
        </w:tabs>
        <w:spacing w:after="60" w:line="240" w:lineRule="auto"/>
        <w:ind w:hanging="6"/>
        <w:outlineLvl w:val="0"/>
        <w:rPr>
          <w:rFonts w:eastAsia="Times New Roman" w:cs="Times New Roman"/>
          <w:b/>
          <w:kern w:val="28"/>
          <w:lang w:eastAsia="cs-CZ"/>
        </w:rPr>
      </w:pPr>
      <w:r>
        <w:rPr>
          <w:rFonts w:eastAsia="Times New Roman" w:cs="Times New Roman"/>
          <w:b/>
          <w:kern w:val="28"/>
          <w:lang w:eastAsia="cs-CZ"/>
        </w:rPr>
        <w:t>3</w:t>
      </w:r>
      <w:r w:rsidR="005C7152" w:rsidRPr="00C47DDA">
        <w:rPr>
          <w:rFonts w:eastAsia="Times New Roman" w:cs="Times New Roman"/>
          <w:b/>
          <w:kern w:val="28"/>
          <w:lang w:eastAsia="cs-CZ"/>
        </w:rPr>
        <w:t>.</w:t>
      </w:r>
      <w:r w:rsidR="005C205F" w:rsidRPr="00C47DDA">
        <w:rPr>
          <w:rFonts w:eastAsia="Times New Roman" w:cs="Times New Roman"/>
          <w:b/>
          <w:kern w:val="28"/>
          <w:lang w:eastAsia="cs-CZ"/>
        </w:rPr>
        <w:t xml:space="preserve"> </w:t>
      </w:r>
      <w:r w:rsidR="00A3209E" w:rsidRPr="00C47DDA">
        <w:rPr>
          <w:rFonts w:eastAsia="Times New Roman" w:cs="Times New Roman"/>
          <w:b/>
          <w:kern w:val="28"/>
          <w:lang w:eastAsia="cs-CZ"/>
        </w:rPr>
        <w:t>Požadavky na způsobilost dodavatele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5"/>
        <w:gridCol w:w="1454"/>
        <w:gridCol w:w="4059"/>
      </w:tblGrid>
      <w:tr w:rsidR="001A369D" w:rsidRPr="00C47DDA" w14:paraId="71C17004" w14:textId="77777777" w:rsidTr="00D8078C">
        <w:tc>
          <w:tcPr>
            <w:tcW w:w="2016" w:type="pct"/>
          </w:tcPr>
          <w:p w14:paraId="2419CB7A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787" w:type="pct"/>
          </w:tcPr>
          <w:p w14:paraId="0C9FDF24" w14:textId="77777777" w:rsidR="00A3209E" w:rsidRPr="00C47DDA" w:rsidRDefault="00A3209E" w:rsidP="00A3209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Požadováno</w:t>
            </w:r>
          </w:p>
        </w:tc>
        <w:tc>
          <w:tcPr>
            <w:tcW w:w="2197" w:type="pct"/>
          </w:tcPr>
          <w:p w14:paraId="6C40170E" w14:textId="77777777" w:rsidR="00A3209E" w:rsidRPr="00C47DDA" w:rsidRDefault="00BD5337" w:rsidP="00BD5337">
            <w:pPr>
              <w:spacing w:after="0" w:line="240" w:lineRule="auto"/>
              <w:ind w:hanging="108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  </w:t>
            </w:r>
            <w:r w:rsidR="00A3209E" w:rsidRPr="00C47DDA">
              <w:rPr>
                <w:rFonts w:eastAsia="Times New Roman" w:cs="Times New Roman"/>
                <w:lang w:eastAsia="cs-CZ"/>
              </w:rPr>
              <w:t>Upřesnění požadavku</w:t>
            </w:r>
          </w:p>
        </w:tc>
      </w:tr>
      <w:tr w:rsidR="001A369D" w:rsidRPr="00C47DDA" w14:paraId="3B12467D" w14:textId="77777777" w:rsidTr="00301C02">
        <w:trPr>
          <w:trHeight w:val="1237"/>
        </w:trPr>
        <w:tc>
          <w:tcPr>
            <w:tcW w:w="2016" w:type="pct"/>
          </w:tcPr>
          <w:p w14:paraId="24F33414" w14:textId="77777777" w:rsidR="00F268CE" w:rsidRPr="00C47DDA" w:rsidRDefault="00F268CE" w:rsidP="00F268C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Doklad o způsobilosti pro práce na:</w:t>
            </w:r>
          </w:p>
          <w:p w14:paraId="2121A907" w14:textId="77777777" w:rsidR="00F268CE" w:rsidRPr="00C47DDA" w:rsidRDefault="00F268CE" w:rsidP="00F268C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- </w:t>
            </w:r>
            <w:r w:rsidR="00B33BEE" w:rsidRPr="00C47DDA">
              <w:rPr>
                <w:rFonts w:eastAsia="Times New Roman" w:cs="Times New Roman"/>
                <w:lang w:eastAsia="cs-CZ"/>
              </w:rPr>
              <w:t>T</w:t>
            </w:r>
            <w:r w:rsidRPr="00C47DDA">
              <w:rPr>
                <w:rFonts w:eastAsia="Times New Roman" w:cs="Times New Roman"/>
                <w:lang w:eastAsia="cs-CZ"/>
              </w:rPr>
              <w:t xml:space="preserve">epelných sítích </w:t>
            </w:r>
          </w:p>
          <w:p w14:paraId="235E2924" w14:textId="77777777" w:rsidR="00F268CE" w:rsidRPr="00C47DDA" w:rsidRDefault="00F268CE" w:rsidP="00F268C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-Vyhrazených tlakových zařízeních</w:t>
            </w:r>
          </w:p>
          <w:p w14:paraId="6E5D1B5F" w14:textId="77777777" w:rsidR="00A3209E" w:rsidRPr="00C47DDA" w:rsidRDefault="00F268CE" w:rsidP="00F268C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-Ocelových konstrukcích( ČSN EN 1090-2 +A1)</w:t>
            </w:r>
          </w:p>
        </w:tc>
        <w:tc>
          <w:tcPr>
            <w:tcW w:w="787" w:type="pct"/>
          </w:tcPr>
          <w:p w14:paraId="04F00ECA" w14:textId="2CB93773" w:rsidR="005C7152" w:rsidRPr="00C47DDA" w:rsidRDefault="000A32D5" w:rsidP="005C715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3209E" w:rsidRPr="00C47DDA">
              <w:rPr>
                <w:rFonts w:eastAsia="Times New Roman" w:cs="Times New Roman"/>
                <w:lang w:eastAsia="cs-CZ"/>
              </w:rPr>
              <w:t xml:space="preserve"> ano</w:t>
            </w:r>
          </w:p>
          <w:p w14:paraId="087417DB" w14:textId="77777777" w:rsidR="00A3209E" w:rsidRPr="00C47DDA" w:rsidRDefault="00A3209E" w:rsidP="005C715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ne</w:t>
            </w:r>
          </w:p>
        </w:tc>
        <w:tc>
          <w:tcPr>
            <w:tcW w:w="2197" w:type="pct"/>
          </w:tcPr>
          <w:p w14:paraId="68C3D013" w14:textId="1F6184AE" w:rsidR="00386DC7" w:rsidRPr="00C47DDA" w:rsidRDefault="007C6629" w:rsidP="00386DC7">
            <w:pPr>
              <w:ind w:right="-108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cs="Times New Roman"/>
              </w:rPr>
              <w:t xml:space="preserve">Tepelné sítě                    </w:t>
            </w:r>
            <w:r w:rsidR="005C7152" w:rsidRPr="00C47DDA">
              <w:rPr>
                <w:rFonts w:cs="Times New Roman"/>
              </w:rPr>
              <w:t xml:space="preserve">   </w:t>
            </w:r>
            <w:r w:rsidR="00301C02" w:rsidRPr="00C47DDA">
              <w:rPr>
                <w:rFonts w:cs="Times New Roman"/>
              </w:rPr>
              <w:t xml:space="preserve">    </w:t>
            </w:r>
            <w:r w:rsidR="000A32D5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cs="Times New Roman"/>
              </w:rPr>
              <w:instrText xml:space="preserve"> FORMCHECKBOX </w:instrText>
            </w:r>
            <w:r w:rsidR="00E33975">
              <w:rPr>
                <w:rFonts w:cs="Times New Roman"/>
              </w:rPr>
            </w:r>
            <w:r w:rsidR="00E33975">
              <w:rPr>
                <w:rFonts w:cs="Times New Roman"/>
              </w:rPr>
              <w:fldChar w:fldCharType="separate"/>
            </w:r>
            <w:r w:rsidR="000A32D5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ano </w:t>
            </w:r>
            <w:r w:rsidR="00301C02" w:rsidRPr="00C47DDA">
              <w:rPr>
                <w:rFonts w:cs="Times New Roman"/>
              </w:rPr>
              <w:t xml:space="preserve">/ </w:t>
            </w:r>
            <w:r w:rsidRPr="00C47DDA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cs="Times New Roman"/>
              </w:rPr>
              <w:instrText xml:space="preserve"> FORMCHECKBOX </w:instrText>
            </w:r>
            <w:r w:rsidR="00E33975">
              <w:rPr>
                <w:rFonts w:cs="Times New Roman"/>
              </w:rPr>
            </w:r>
            <w:r w:rsidR="00E33975">
              <w:rPr>
                <w:rFonts w:cs="Times New Roman"/>
              </w:rPr>
              <w:fldChar w:fldCharType="separate"/>
            </w:r>
            <w:r w:rsidRPr="00C47DDA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ne Vyhrazená tlaková zařízení </w:t>
            </w:r>
            <w:r w:rsidR="00301C02" w:rsidRPr="00C47DDA">
              <w:rPr>
                <w:rFonts w:cs="Times New Roman"/>
              </w:rPr>
              <w:t xml:space="preserve">  </w:t>
            </w:r>
            <w:r w:rsidR="00386DC7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6DC7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386DC7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cs="Times New Roman"/>
              </w:rPr>
              <w:t xml:space="preserve"> ano </w:t>
            </w:r>
            <w:r w:rsidR="00301C02" w:rsidRPr="00C47DDA">
              <w:rPr>
                <w:rFonts w:cs="Times New Roman"/>
              </w:rPr>
              <w:t xml:space="preserve">/ </w:t>
            </w:r>
            <w:r w:rsidR="00386DC7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86DC7">
              <w:rPr>
                <w:rFonts w:cs="Times New Roman"/>
              </w:rPr>
              <w:instrText xml:space="preserve"> FORMCHECKBOX </w:instrText>
            </w:r>
            <w:r w:rsidR="00E33975">
              <w:rPr>
                <w:rFonts w:cs="Times New Roman"/>
              </w:rPr>
            </w:r>
            <w:r w:rsidR="00E33975">
              <w:rPr>
                <w:rFonts w:cs="Times New Roman"/>
              </w:rPr>
              <w:fldChar w:fldCharType="separate"/>
            </w:r>
            <w:r w:rsidR="00386DC7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ne Ocelové konstrukce   </w:t>
            </w:r>
            <w:r w:rsidR="00301C02" w:rsidRPr="00C47DDA">
              <w:rPr>
                <w:rFonts w:cs="Times New Roman"/>
              </w:rPr>
              <w:t xml:space="preserve">      </w:t>
            </w:r>
            <w:r w:rsidRPr="00C47DDA">
              <w:rPr>
                <w:rFonts w:cs="Times New Roman"/>
              </w:rPr>
              <w:t xml:space="preserve">  </w:t>
            </w:r>
            <w:r w:rsidR="00301C02" w:rsidRPr="00C47DDA">
              <w:rPr>
                <w:rFonts w:cs="Times New Roman"/>
              </w:rPr>
              <w:t xml:space="preserve">    </w:t>
            </w:r>
            <w:r w:rsidR="000A32D5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cs="Times New Roman"/>
              </w:rPr>
              <w:instrText xml:space="preserve"> FORMCHECKBOX </w:instrText>
            </w:r>
            <w:r w:rsidR="00E33975">
              <w:rPr>
                <w:rFonts w:cs="Times New Roman"/>
              </w:rPr>
            </w:r>
            <w:r w:rsidR="00E33975">
              <w:rPr>
                <w:rFonts w:cs="Times New Roman"/>
              </w:rPr>
              <w:fldChar w:fldCharType="separate"/>
            </w:r>
            <w:r w:rsidR="000A32D5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ano / </w:t>
            </w:r>
            <w:r w:rsidRPr="00C47DDA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cs="Times New Roman"/>
              </w:rPr>
              <w:instrText xml:space="preserve"> FORMCHECKBOX </w:instrText>
            </w:r>
            <w:r w:rsidR="00E33975">
              <w:rPr>
                <w:rFonts w:cs="Times New Roman"/>
              </w:rPr>
            </w:r>
            <w:r w:rsidR="00E33975">
              <w:rPr>
                <w:rFonts w:cs="Times New Roman"/>
              </w:rPr>
              <w:fldChar w:fldCharType="separate"/>
            </w:r>
            <w:r w:rsidRPr="00C47DDA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ne</w:t>
            </w:r>
            <w:r w:rsidR="00386DC7">
              <w:rPr>
                <w:rFonts w:cs="Times New Roman"/>
              </w:rPr>
              <w:t xml:space="preserve"> </w:t>
            </w:r>
            <w:r w:rsidR="00386DC7">
              <w:rPr>
                <w:rFonts w:eastAsia="Times New Roman" w:cs="Times New Roman"/>
                <w:lang w:eastAsia="cs-CZ"/>
              </w:rPr>
              <w:t>(výhodou)</w:t>
            </w:r>
          </w:p>
        </w:tc>
      </w:tr>
      <w:tr w:rsidR="001A369D" w:rsidRPr="00C47DDA" w14:paraId="65997485" w14:textId="77777777" w:rsidTr="00D8078C">
        <w:trPr>
          <w:trHeight w:val="644"/>
        </w:trPr>
        <w:tc>
          <w:tcPr>
            <w:tcW w:w="2016" w:type="pct"/>
          </w:tcPr>
          <w:p w14:paraId="4726FE3B" w14:textId="77777777" w:rsidR="00F268CE" w:rsidRPr="00C47DDA" w:rsidRDefault="00F268CE" w:rsidP="00F268CE">
            <w:pPr>
              <w:rPr>
                <w:rFonts w:cs="Times New Roman"/>
              </w:rPr>
            </w:pPr>
            <w:r w:rsidRPr="00C47DDA">
              <w:rPr>
                <w:rFonts w:cs="Times New Roman"/>
              </w:rPr>
              <w:t>Prokázaní způsobilosti na zajištění jakosti při tavném svařování</w:t>
            </w:r>
          </w:p>
        </w:tc>
        <w:tc>
          <w:tcPr>
            <w:tcW w:w="787" w:type="pct"/>
          </w:tcPr>
          <w:p w14:paraId="3DF3E896" w14:textId="598C7C75" w:rsidR="00B33BEE" w:rsidRPr="00C47DDA" w:rsidRDefault="000A32D5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F268CE" w:rsidRPr="00C47DDA">
              <w:rPr>
                <w:rFonts w:eastAsia="Times New Roman" w:cs="Times New Roman"/>
                <w:lang w:eastAsia="cs-CZ"/>
              </w:rPr>
              <w:t xml:space="preserve"> ano </w:t>
            </w:r>
          </w:p>
          <w:p w14:paraId="512EA373" w14:textId="77777777" w:rsidR="00F268CE" w:rsidRPr="00C47DDA" w:rsidRDefault="00F268C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ne</w:t>
            </w:r>
          </w:p>
        </w:tc>
        <w:tc>
          <w:tcPr>
            <w:tcW w:w="2197" w:type="pct"/>
          </w:tcPr>
          <w:p w14:paraId="05414E45" w14:textId="77777777" w:rsidR="00B33BEE" w:rsidRPr="00C47DDA" w:rsidRDefault="00F268CE" w:rsidP="001A369D">
            <w:pPr>
              <w:spacing w:after="0" w:line="240" w:lineRule="auto"/>
              <w:rPr>
                <w:rFonts w:cs="Times New Roman"/>
              </w:rPr>
            </w:pPr>
            <w:r w:rsidRPr="00C47DDA">
              <w:rPr>
                <w:rFonts w:cs="Times New Roman"/>
              </w:rPr>
              <w:t>Zajištění jakosti dle ČSN EN ISO 3834</w:t>
            </w:r>
          </w:p>
          <w:p w14:paraId="3564583A" w14:textId="722E9E5B" w:rsidR="00F268CE" w:rsidRPr="00C47DDA" w:rsidRDefault="00F268CE" w:rsidP="000A32D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cs="Times New Roman"/>
              </w:rPr>
              <w:t xml:space="preserve">část </w:t>
            </w:r>
            <w:r w:rsidR="000A32D5">
              <w:rPr>
                <w:rFonts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cs="Times New Roman"/>
              </w:rPr>
              <w:instrText xml:space="preserve"> FORMCHECKBOX </w:instrText>
            </w:r>
            <w:r w:rsidR="00E33975">
              <w:rPr>
                <w:rFonts w:cs="Times New Roman"/>
              </w:rPr>
            </w:r>
            <w:r w:rsidR="00E33975">
              <w:rPr>
                <w:rFonts w:cs="Times New Roman"/>
              </w:rPr>
              <w:fldChar w:fldCharType="separate"/>
            </w:r>
            <w:r w:rsidR="000A32D5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-2  </w:t>
            </w:r>
            <w:r w:rsidR="00A660D5" w:rsidRPr="00C47DDA">
              <w:rPr>
                <w:rFonts w:cs="Times New Roman"/>
              </w:rPr>
              <w:t xml:space="preserve">    </w:t>
            </w:r>
            <w:r w:rsidRPr="00C47DDA">
              <w:rPr>
                <w:rFonts w:cs="Times New Roman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cs="Times New Roman"/>
              </w:rPr>
              <w:instrText xml:space="preserve"> FORMCHECKBOX </w:instrText>
            </w:r>
            <w:r w:rsidR="00E33975">
              <w:rPr>
                <w:rFonts w:cs="Times New Roman"/>
              </w:rPr>
            </w:r>
            <w:r w:rsidR="00E33975">
              <w:rPr>
                <w:rFonts w:cs="Times New Roman"/>
              </w:rPr>
              <w:fldChar w:fldCharType="separate"/>
            </w:r>
            <w:r w:rsidRPr="00C47DDA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-3  </w:t>
            </w:r>
            <w:r w:rsidR="00A660D5" w:rsidRPr="00C47DDA">
              <w:rPr>
                <w:rFonts w:cs="Times New Roman"/>
              </w:rPr>
              <w:t xml:space="preserve">     </w:t>
            </w:r>
            <w:r w:rsidRPr="00C47DDA">
              <w:rPr>
                <w:rFonts w:cs="Times New Roman"/>
              </w:rPr>
              <w:t xml:space="preserve"> </w:t>
            </w:r>
            <w:r w:rsidRPr="00C47DDA">
              <w:rPr>
                <w:rFonts w:cs="Times New Roman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cs="Times New Roman"/>
              </w:rPr>
              <w:instrText xml:space="preserve"> FORMCHECKBOX </w:instrText>
            </w:r>
            <w:r w:rsidR="00E33975">
              <w:rPr>
                <w:rFonts w:cs="Times New Roman"/>
              </w:rPr>
            </w:r>
            <w:r w:rsidR="00E33975">
              <w:rPr>
                <w:rFonts w:cs="Times New Roman"/>
              </w:rPr>
              <w:fldChar w:fldCharType="separate"/>
            </w:r>
            <w:r w:rsidRPr="00C47DDA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-4   </w:t>
            </w:r>
            <w:r w:rsidR="00A660D5" w:rsidRPr="00C47DDA">
              <w:rPr>
                <w:rFonts w:cs="Times New Roman"/>
              </w:rPr>
              <w:t xml:space="preserve">   </w:t>
            </w:r>
            <w:r w:rsidRPr="00C47DDA">
              <w:rPr>
                <w:rFonts w:cs="Times New Roman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cs="Times New Roman"/>
              </w:rPr>
              <w:instrText xml:space="preserve"> FORMCHECKBOX </w:instrText>
            </w:r>
            <w:r w:rsidR="00E33975">
              <w:rPr>
                <w:rFonts w:cs="Times New Roman"/>
              </w:rPr>
            </w:r>
            <w:r w:rsidR="00E33975">
              <w:rPr>
                <w:rFonts w:cs="Times New Roman"/>
              </w:rPr>
              <w:fldChar w:fldCharType="separate"/>
            </w:r>
            <w:r w:rsidRPr="00C47DDA">
              <w:rPr>
                <w:rFonts w:cs="Times New Roman"/>
              </w:rPr>
              <w:fldChar w:fldCharType="end"/>
            </w:r>
            <w:r w:rsidRPr="00C47DDA">
              <w:rPr>
                <w:rFonts w:cs="Times New Roman"/>
              </w:rPr>
              <w:t xml:space="preserve"> …</w:t>
            </w:r>
          </w:p>
        </w:tc>
      </w:tr>
      <w:tr w:rsidR="005C205F" w:rsidRPr="00C47DDA" w14:paraId="08AC205D" w14:textId="77777777" w:rsidTr="00D8078C">
        <w:trPr>
          <w:trHeight w:val="644"/>
        </w:trPr>
        <w:tc>
          <w:tcPr>
            <w:tcW w:w="2016" w:type="pct"/>
          </w:tcPr>
          <w:p w14:paraId="4B180F26" w14:textId="5832E749" w:rsidR="005C205F" w:rsidRPr="00C47DDA" w:rsidRDefault="005C205F" w:rsidP="00391BC0">
            <w:pPr>
              <w:rPr>
                <w:rFonts w:cs="Times New Roman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Zákaznický audit dodavatele ze strany </w:t>
            </w:r>
            <w:r w:rsidR="00391BC0" w:rsidRPr="00C47DDA">
              <w:rPr>
                <w:rFonts w:eastAsia="Times New Roman" w:cs="Times New Roman"/>
                <w:lang w:eastAsia="cs-CZ"/>
              </w:rPr>
              <w:t>objednatele</w:t>
            </w:r>
          </w:p>
        </w:tc>
        <w:tc>
          <w:tcPr>
            <w:tcW w:w="787" w:type="pct"/>
          </w:tcPr>
          <w:p w14:paraId="7509EFCE" w14:textId="77777777" w:rsidR="00B33BEE" w:rsidRPr="00C47DDA" w:rsidRDefault="00B33BE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ano</w:t>
            </w:r>
          </w:p>
          <w:p w14:paraId="1941AB39" w14:textId="57F5B82F" w:rsidR="005C205F" w:rsidRPr="00C47DDA" w:rsidRDefault="000A32D5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ne</w:t>
            </w:r>
          </w:p>
        </w:tc>
        <w:tc>
          <w:tcPr>
            <w:tcW w:w="2197" w:type="pct"/>
          </w:tcPr>
          <w:p w14:paraId="07526714" w14:textId="77777777" w:rsidR="00B33BEE" w:rsidRPr="00C47DDA" w:rsidRDefault="00B33BE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Předpokládaný termín:</w:t>
            </w:r>
          </w:p>
          <w:p w14:paraId="7F4914AC" w14:textId="77777777" w:rsidR="00D93D20" w:rsidRPr="00C47DDA" w:rsidRDefault="00B33BE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Výsledek   </w:t>
            </w:r>
          </w:p>
          <w:p w14:paraId="31AB0358" w14:textId="5FE81EDB" w:rsidR="005C205F" w:rsidRPr="00C47DDA" w:rsidRDefault="00B33BEE" w:rsidP="004D6CB8">
            <w:pPr>
              <w:spacing w:after="0" w:line="240" w:lineRule="auto"/>
              <w:rPr>
                <w:rFonts w:cs="Times New Roman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vyhovující / </w:t>
            </w: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nevyhovující</w:t>
            </w:r>
          </w:p>
        </w:tc>
      </w:tr>
      <w:tr w:rsidR="00B33BEE" w:rsidRPr="00C47DDA" w14:paraId="7C58EB88" w14:textId="77777777" w:rsidTr="00D8078C">
        <w:trPr>
          <w:trHeight w:val="644"/>
        </w:trPr>
        <w:tc>
          <w:tcPr>
            <w:tcW w:w="2016" w:type="pct"/>
          </w:tcPr>
          <w:p w14:paraId="4E6237A5" w14:textId="1C6D6BFB" w:rsidR="00B33BEE" w:rsidRPr="00C47DDA" w:rsidRDefault="00B33BEE" w:rsidP="00F268CE">
            <w:pPr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Jména a kvalifikace svářečského dozoru ve smyslu ČSN EN</w:t>
            </w:r>
            <w:r w:rsidR="00426138">
              <w:rPr>
                <w:rFonts w:eastAsia="Times New Roman" w:cs="Times New Roman"/>
                <w:lang w:eastAsia="cs-CZ"/>
              </w:rPr>
              <w:t xml:space="preserve"> ISO 14731</w:t>
            </w:r>
          </w:p>
        </w:tc>
        <w:tc>
          <w:tcPr>
            <w:tcW w:w="787" w:type="pct"/>
          </w:tcPr>
          <w:p w14:paraId="28FDA70F" w14:textId="43C66722" w:rsidR="00B33BEE" w:rsidRPr="00C47DDA" w:rsidRDefault="000A32D5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ano</w:t>
            </w:r>
          </w:p>
          <w:p w14:paraId="25FEB66E" w14:textId="77777777" w:rsidR="00B33BEE" w:rsidRPr="00C47DDA" w:rsidRDefault="00B33BE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ne</w:t>
            </w:r>
          </w:p>
        </w:tc>
        <w:tc>
          <w:tcPr>
            <w:tcW w:w="2197" w:type="pct"/>
          </w:tcPr>
          <w:p w14:paraId="37A9547B" w14:textId="77777777" w:rsidR="00B33BEE" w:rsidRPr="00C47DDA" w:rsidRDefault="00B33BE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Doložení kopie kvalifikačního dokladu </w:t>
            </w:r>
          </w:p>
          <w:p w14:paraId="761AC733" w14:textId="64783AA7" w:rsidR="00B33BEE" w:rsidRPr="00C47DDA" w:rsidRDefault="00DF7B5F" w:rsidP="004D518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EW</w:t>
            </w:r>
            <w:r>
              <w:rPr>
                <w:rFonts w:eastAsia="Times New Roman" w:cs="Times New Roman"/>
                <w:lang w:eastAsia="cs-CZ"/>
              </w:rPr>
              <w:t>E</w:t>
            </w:r>
            <w:r w:rsidRPr="00C47DDA">
              <w:rPr>
                <w:rFonts w:eastAsia="Times New Roman" w:cs="Times New Roman"/>
                <w:lang w:eastAsia="cs-CZ"/>
              </w:rPr>
              <w:t>/IW</w:t>
            </w:r>
            <w:r>
              <w:rPr>
                <w:rFonts w:eastAsia="Times New Roman" w:cs="Times New Roman"/>
                <w:lang w:eastAsia="cs-CZ"/>
              </w:rPr>
              <w:t>E</w:t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, </w:t>
            </w:r>
            <w:r w:rsidR="004D5183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D5183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4D5183"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EWT/IWT, </w:t>
            </w:r>
            <w:r w:rsidR="00B33BEE"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3BEE"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B33BEE"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EWS/IWS</w:t>
            </w:r>
          </w:p>
        </w:tc>
      </w:tr>
      <w:tr w:rsidR="00B33BEE" w:rsidRPr="00C47DDA" w14:paraId="59AE27D4" w14:textId="77777777" w:rsidTr="00C110B1">
        <w:trPr>
          <w:trHeight w:val="805"/>
        </w:trPr>
        <w:tc>
          <w:tcPr>
            <w:tcW w:w="2016" w:type="pct"/>
          </w:tcPr>
          <w:p w14:paraId="7A50B1EB" w14:textId="77777777" w:rsidR="00B33BEE" w:rsidRPr="00C47DDA" w:rsidRDefault="00B33BEE" w:rsidP="00F268CE">
            <w:pPr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lastRenderedPageBreak/>
              <w:t>Před realizací jakékoliv části zakázky požadováno provedení pracovních zkoušek svářečů</w:t>
            </w:r>
          </w:p>
        </w:tc>
        <w:tc>
          <w:tcPr>
            <w:tcW w:w="787" w:type="pct"/>
          </w:tcPr>
          <w:p w14:paraId="04C68BC5" w14:textId="07CAD979" w:rsidR="00B33BEE" w:rsidRPr="00C47DDA" w:rsidRDefault="00F623F6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ano</w:t>
            </w:r>
          </w:p>
          <w:p w14:paraId="4FECC0BC" w14:textId="1483BF51" w:rsidR="00B33BEE" w:rsidRPr="00C47DDA" w:rsidRDefault="00F623F6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B33BEE" w:rsidRPr="00C47DDA">
              <w:rPr>
                <w:rFonts w:eastAsia="Times New Roman" w:cs="Times New Roman"/>
                <w:lang w:eastAsia="cs-CZ"/>
              </w:rPr>
              <w:t xml:space="preserve"> ne</w:t>
            </w:r>
          </w:p>
        </w:tc>
        <w:tc>
          <w:tcPr>
            <w:tcW w:w="2197" w:type="pct"/>
          </w:tcPr>
          <w:p w14:paraId="48AAC0AA" w14:textId="4E7F94F4" w:rsidR="00B33BEE" w:rsidRPr="00C47DDA" w:rsidRDefault="00F623F6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Pracovní zkoušky svářečů provede zástupce stavebníka (TDS) u zhotovitele, o tomto bude sepsán zápis o s vyhodnocením úspěšnosti pracovních zkoušek svářečů</w:t>
            </w:r>
          </w:p>
        </w:tc>
      </w:tr>
    </w:tbl>
    <w:p w14:paraId="093AC357" w14:textId="5F5B287E" w:rsidR="00A3209E" w:rsidRPr="00C47DDA" w:rsidRDefault="00E33975" w:rsidP="00B33BEE">
      <w:pPr>
        <w:keepNext/>
        <w:tabs>
          <w:tab w:val="left" w:pos="0"/>
        </w:tabs>
        <w:spacing w:before="360" w:after="60" w:line="240" w:lineRule="auto"/>
        <w:outlineLvl w:val="0"/>
        <w:rPr>
          <w:rFonts w:eastAsia="Times New Roman" w:cs="Times New Roman"/>
          <w:b/>
          <w:kern w:val="28"/>
          <w:lang w:eastAsia="cs-CZ"/>
        </w:rPr>
      </w:pPr>
      <w:r>
        <w:rPr>
          <w:rFonts w:eastAsia="Times New Roman" w:cs="Times New Roman"/>
          <w:b/>
          <w:kern w:val="28"/>
          <w:lang w:eastAsia="cs-CZ"/>
        </w:rPr>
        <w:t>4</w:t>
      </w:r>
      <w:r w:rsidR="00B33BEE" w:rsidRPr="00C47DDA">
        <w:rPr>
          <w:rFonts w:eastAsia="Times New Roman" w:cs="Times New Roman"/>
          <w:b/>
          <w:kern w:val="28"/>
          <w:lang w:eastAsia="cs-CZ"/>
        </w:rPr>
        <w:t xml:space="preserve">. </w:t>
      </w:r>
      <w:r w:rsidR="00A3209E" w:rsidRPr="00C47DDA">
        <w:rPr>
          <w:rFonts w:eastAsia="Times New Roman" w:cs="Times New Roman"/>
          <w:b/>
          <w:kern w:val="28"/>
          <w:lang w:eastAsia="cs-CZ"/>
        </w:rPr>
        <w:t xml:space="preserve">Požadavky na jakost svarových spojů a jejich kontrolu </w:t>
      </w:r>
    </w:p>
    <w:p w14:paraId="2E64937C" w14:textId="77777777" w:rsidR="00A3209E" w:rsidRPr="00C47DDA" w:rsidRDefault="00A3209E" w:rsidP="00A3209E">
      <w:pPr>
        <w:spacing w:after="0" w:line="240" w:lineRule="auto"/>
        <w:rPr>
          <w:rFonts w:eastAsia="Times New Roman" w:cs="Times New Roman"/>
          <w:szCs w:val="20"/>
          <w:lang w:eastAsia="cs-CZ"/>
        </w:rPr>
      </w:pPr>
      <w:r w:rsidRPr="00C47DDA">
        <w:rPr>
          <w:rFonts w:eastAsia="Times New Roman" w:cs="Times New Roman"/>
          <w:szCs w:val="20"/>
          <w:lang w:eastAsia="cs-CZ"/>
        </w:rPr>
        <w:t>Dle výkresové dokumentace nebo pokud to výkresová dokumentace nestanovuje, tak následovně:</w:t>
      </w:r>
    </w:p>
    <w:tbl>
      <w:tblPr>
        <w:tblW w:w="496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2214"/>
        <w:gridCol w:w="2077"/>
        <w:gridCol w:w="2077"/>
        <w:gridCol w:w="1521"/>
      </w:tblGrid>
      <w:tr w:rsidR="00A702B1" w:rsidRPr="00C47DDA" w14:paraId="3E398D10" w14:textId="77777777" w:rsidTr="00837441">
        <w:tc>
          <w:tcPr>
            <w:tcW w:w="746" w:type="pct"/>
          </w:tcPr>
          <w:p w14:paraId="637ABC55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 w:rsidRPr="00C47DDA">
              <w:rPr>
                <w:rFonts w:eastAsia="Times New Roman" w:cs="Times New Roman"/>
                <w:szCs w:val="20"/>
                <w:lang w:eastAsia="cs-CZ"/>
              </w:rPr>
              <w:t>Identifikace konstrukce</w:t>
            </w:r>
          </w:p>
        </w:tc>
        <w:tc>
          <w:tcPr>
            <w:tcW w:w="1194" w:type="pct"/>
          </w:tcPr>
          <w:p w14:paraId="7698033C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 w:rsidRPr="00C47DDA">
              <w:rPr>
                <w:rFonts w:eastAsia="Times New Roman" w:cs="Times New Roman"/>
                <w:szCs w:val="20"/>
                <w:lang w:eastAsia="cs-CZ"/>
              </w:rPr>
              <w:t>Typy svarů</w:t>
            </w:r>
          </w:p>
        </w:tc>
        <w:tc>
          <w:tcPr>
            <w:tcW w:w="1120" w:type="pct"/>
          </w:tcPr>
          <w:p w14:paraId="40C10663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 w:rsidRPr="00C47DDA">
              <w:rPr>
                <w:rFonts w:eastAsia="Times New Roman" w:cs="Times New Roman"/>
                <w:szCs w:val="20"/>
                <w:lang w:eastAsia="cs-CZ"/>
              </w:rPr>
              <w:t>Klasifikační norma vad</w:t>
            </w:r>
          </w:p>
        </w:tc>
        <w:tc>
          <w:tcPr>
            <w:tcW w:w="1120" w:type="pct"/>
          </w:tcPr>
          <w:p w14:paraId="481EEBE4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 w:rsidRPr="00C47DDA">
              <w:rPr>
                <w:rFonts w:eastAsia="Times New Roman" w:cs="Times New Roman"/>
                <w:szCs w:val="20"/>
                <w:lang w:eastAsia="cs-CZ"/>
              </w:rPr>
              <w:t>Stupeň jakosti vad</w:t>
            </w:r>
          </w:p>
        </w:tc>
        <w:tc>
          <w:tcPr>
            <w:tcW w:w="820" w:type="pct"/>
          </w:tcPr>
          <w:p w14:paraId="654C6131" w14:textId="022000AA" w:rsidR="00A3209E" w:rsidRPr="00C47DDA" w:rsidRDefault="00A3209E" w:rsidP="00837441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proofErr w:type="spellStart"/>
            <w:r w:rsidRPr="00C47DDA">
              <w:rPr>
                <w:rFonts w:eastAsia="Times New Roman" w:cs="Times New Roman"/>
                <w:szCs w:val="20"/>
                <w:lang w:eastAsia="cs-CZ"/>
              </w:rPr>
              <w:t>Pož</w:t>
            </w:r>
            <w:proofErr w:type="spellEnd"/>
            <w:r w:rsidR="00837441" w:rsidRPr="00C47DDA">
              <w:rPr>
                <w:rFonts w:eastAsia="Times New Roman" w:cs="Times New Roman"/>
                <w:szCs w:val="20"/>
                <w:lang w:eastAsia="cs-CZ"/>
              </w:rPr>
              <w:t>.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metoda kontroly</w:t>
            </w:r>
          </w:p>
        </w:tc>
      </w:tr>
      <w:tr w:rsidR="00201822" w:rsidRPr="00C47DDA" w14:paraId="72518AAC" w14:textId="77777777" w:rsidTr="00837441">
        <w:tc>
          <w:tcPr>
            <w:tcW w:w="746" w:type="pct"/>
          </w:tcPr>
          <w:p w14:paraId="14D6E6D2" w14:textId="77777777" w:rsidR="00201822" w:rsidRPr="00C47DDA" w:rsidRDefault="00201822" w:rsidP="00201822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1194" w:type="pct"/>
          </w:tcPr>
          <w:p w14:paraId="1361BBCA" w14:textId="69094A6A" w:rsidR="00201822" w:rsidRDefault="00201822" w:rsidP="00201822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szCs w:val="20"/>
                <w:lang w:eastAsia="cs-CZ"/>
              </w:rPr>
            </w:r>
            <w:r w:rsidR="00E33975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tupé </w:t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szCs w:val="20"/>
                <w:lang w:eastAsia="cs-CZ"/>
              </w:rPr>
            </w:r>
            <w:r w:rsidR="00E33975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koutové</w:t>
            </w:r>
          </w:p>
        </w:tc>
        <w:tc>
          <w:tcPr>
            <w:tcW w:w="1120" w:type="pct"/>
          </w:tcPr>
          <w:p w14:paraId="276E0263" w14:textId="2478C2C4" w:rsidR="00201822" w:rsidRDefault="00201822" w:rsidP="00201822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szCs w:val="20"/>
                <w:lang w:eastAsia="cs-CZ"/>
              </w:rPr>
            </w:r>
            <w:r w:rsidR="00E33975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ISO 5817 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szCs w:val="20"/>
                <w:lang w:eastAsia="cs-CZ"/>
              </w:rPr>
            </w:r>
            <w:r w:rsidR="00E33975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...</w:t>
            </w:r>
          </w:p>
        </w:tc>
        <w:tc>
          <w:tcPr>
            <w:tcW w:w="1120" w:type="pct"/>
          </w:tcPr>
          <w:p w14:paraId="425E46D0" w14:textId="5483CA9D" w:rsidR="00201822" w:rsidRDefault="00201822" w:rsidP="00201822">
            <w:pPr>
              <w:tabs>
                <w:tab w:val="left" w:pos="250"/>
              </w:tabs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B 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szCs w:val="20"/>
                <w:lang w:eastAsia="cs-CZ"/>
              </w:rPr>
            </w:r>
            <w:r w:rsidR="00E33975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  <w:r>
              <w:rPr>
                <w:rFonts w:eastAsia="Times New Roman" w:cs="Times New Roman"/>
                <w:szCs w:val="20"/>
                <w:lang w:eastAsia="cs-CZ"/>
              </w:rPr>
              <w:t>C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</w:t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szCs w:val="20"/>
                <w:lang w:eastAsia="cs-CZ"/>
              </w:rPr>
            </w:r>
            <w:r w:rsidR="00E33975">
              <w:rPr>
                <w:rFonts w:eastAsia="Times New Roman" w:cs="Times New Roman"/>
                <w:szCs w:val="20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szCs w:val="20"/>
                <w:lang w:eastAsia="cs-CZ"/>
              </w:rPr>
              <w:t xml:space="preserve"> D</w:t>
            </w:r>
          </w:p>
        </w:tc>
        <w:tc>
          <w:tcPr>
            <w:tcW w:w="820" w:type="pct"/>
          </w:tcPr>
          <w:p w14:paraId="35CF71E7" w14:textId="40849C9E" w:rsidR="00201822" w:rsidRDefault="00201822" w:rsidP="0020182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VT, TZ</w:t>
            </w:r>
          </w:p>
        </w:tc>
      </w:tr>
      <w:tr w:rsidR="00A702B1" w:rsidRPr="00C47DDA" w14:paraId="4770D4F8" w14:textId="77777777" w:rsidTr="00837441">
        <w:tc>
          <w:tcPr>
            <w:tcW w:w="746" w:type="pct"/>
          </w:tcPr>
          <w:p w14:paraId="40E566BE" w14:textId="77777777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1194" w:type="pct"/>
          </w:tcPr>
          <w:p w14:paraId="3BA36F40" w14:textId="00B9E4EE" w:rsidR="00A3209E" w:rsidRPr="00C47DDA" w:rsidRDefault="00A3209E" w:rsidP="000A32D5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1120" w:type="pct"/>
          </w:tcPr>
          <w:p w14:paraId="07EFB721" w14:textId="48625DEB" w:rsidR="00A3209E" w:rsidRPr="00C47DDA" w:rsidRDefault="00A3209E" w:rsidP="00A3209E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1120" w:type="pct"/>
          </w:tcPr>
          <w:p w14:paraId="12512E67" w14:textId="64B9D662" w:rsidR="00A3209E" w:rsidRPr="00C47DDA" w:rsidRDefault="00A3209E" w:rsidP="00273A4D">
            <w:pPr>
              <w:tabs>
                <w:tab w:val="left" w:pos="250"/>
              </w:tabs>
              <w:spacing w:after="0" w:line="240" w:lineRule="auto"/>
              <w:jc w:val="center"/>
              <w:rPr>
                <w:rFonts w:eastAsia="Times New Roman" w:cs="Times New Roman"/>
                <w:szCs w:val="20"/>
                <w:lang w:eastAsia="cs-CZ"/>
              </w:rPr>
            </w:pPr>
          </w:p>
        </w:tc>
        <w:tc>
          <w:tcPr>
            <w:tcW w:w="820" w:type="pct"/>
          </w:tcPr>
          <w:p w14:paraId="4F6DEED9" w14:textId="0DBE9DD6" w:rsidR="00A3209E" w:rsidRPr="00C47DDA" w:rsidRDefault="00A3209E" w:rsidP="000A32D5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</w:p>
        </w:tc>
      </w:tr>
    </w:tbl>
    <w:p w14:paraId="7DF4EA55" w14:textId="70CF0B69" w:rsidR="00201822" w:rsidRPr="00E33975" w:rsidRDefault="00C47DDA" w:rsidP="00C110B1">
      <w:pPr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E33975">
        <w:rPr>
          <w:rFonts w:eastAsia="Times New Roman" w:cs="Times New Roman"/>
          <w:sz w:val="20"/>
          <w:szCs w:val="20"/>
          <w:lang w:eastAsia="cs-CZ"/>
        </w:rPr>
        <w:t xml:space="preserve">Zkratky pro metody kontrol: </w:t>
      </w:r>
      <w:r w:rsidR="00A3209E" w:rsidRPr="00E33975">
        <w:rPr>
          <w:rFonts w:eastAsia="Times New Roman" w:cs="Times New Roman"/>
          <w:sz w:val="20"/>
          <w:szCs w:val="20"/>
          <w:lang w:eastAsia="cs-CZ"/>
        </w:rPr>
        <w:t xml:space="preserve">VT – vizuální, MT – magnetickou metodou, PT – penetrační, </w:t>
      </w:r>
      <w:r w:rsidR="00B33BEE" w:rsidRPr="00E33975">
        <w:rPr>
          <w:rFonts w:eastAsia="Times New Roman" w:cs="Times New Roman"/>
          <w:sz w:val="20"/>
          <w:szCs w:val="20"/>
          <w:lang w:eastAsia="cs-CZ"/>
        </w:rPr>
        <w:t xml:space="preserve"> </w:t>
      </w:r>
      <w:r w:rsidR="00A3209E" w:rsidRPr="00E33975">
        <w:rPr>
          <w:rFonts w:eastAsia="Times New Roman" w:cs="Times New Roman"/>
          <w:sz w:val="20"/>
          <w:szCs w:val="20"/>
          <w:lang w:eastAsia="cs-CZ"/>
        </w:rPr>
        <w:t xml:space="preserve">UT – ultrazvukem, RT – </w:t>
      </w:r>
      <w:r w:rsidR="00B33BEE" w:rsidRPr="00E33975">
        <w:rPr>
          <w:rFonts w:eastAsia="Times New Roman" w:cs="Times New Roman"/>
          <w:sz w:val="20"/>
          <w:szCs w:val="20"/>
          <w:lang w:eastAsia="cs-CZ"/>
        </w:rPr>
        <w:t xml:space="preserve"> r</w:t>
      </w:r>
      <w:r w:rsidR="00A3209E" w:rsidRPr="00E33975">
        <w:rPr>
          <w:rFonts w:eastAsia="Times New Roman" w:cs="Times New Roman"/>
          <w:sz w:val="20"/>
          <w:szCs w:val="20"/>
          <w:lang w:eastAsia="cs-CZ"/>
        </w:rPr>
        <w:t>entgenem, TZ – tlaková zkouška</w:t>
      </w:r>
      <w:r w:rsidR="00047A15" w:rsidRPr="00E33975">
        <w:rPr>
          <w:rFonts w:eastAsia="Times New Roman" w:cs="Times New Roman"/>
          <w:sz w:val="20"/>
          <w:szCs w:val="20"/>
          <w:lang w:eastAsia="cs-CZ"/>
        </w:rPr>
        <w:t>, ZT – zkouška těsnosti</w:t>
      </w:r>
      <w:r w:rsidR="00E33975">
        <w:rPr>
          <w:rFonts w:eastAsia="Times New Roman" w:cs="Times New Roman"/>
          <w:sz w:val="20"/>
          <w:szCs w:val="20"/>
          <w:lang w:eastAsia="cs-CZ"/>
        </w:rPr>
        <w:t xml:space="preserve"> </w:t>
      </w:r>
      <w:r w:rsidR="00201822" w:rsidRPr="00E33975">
        <w:rPr>
          <w:rFonts w:eastAsia="Times New Roman" w:cs="Times New Roman"/>
          <w:sz w:val="20"/>
          <w:szCs w:val="20"/>
        </w:rPr>
        <w:t>ISO 10675-1</w:t>
      </w:r>
    </w:p>
    <w:p w14:paraId="251294E5" w14:textId="77777777" w:rsidR="00C110B1" w:rsidRDefault="00C110B1" w:rsidP="00C110B1">
      <w:pPr>
        <w:spacing w:after="0" w:line="240" w:lineRule="auto"/>
        <w:rPr>
          <w:rFonts w:eastAsia="Times New Roman" w:cs="Times New Roman"/>
          <w:szCs w:val="20"/>
          <w:lang w:eastAsia="cs-CZ"/>
        </w:rPr>
      </w:pPr>
    </w:p>
    <w:p w14:paraId="7F068098" w14:textId="61B50FA2" w:rsidR="00A3209E" w:rsidRPr="00C47DDA" w:rsidRDefault="00DF7B5F" w:rsidP="00C110B1">
      <w:pPr>
        <w:spacing w:after="0" w:line="240" w:lineRule="auto"/>
        <w:rPr>
          <w:rFonts w:eastAsia="Times New Roman" w:cs="Times New Roman"/>
          <w:b/>
          <w:kern w:val="28"/>
          <w:lang w:eastAsia="cs-CZ"/>
        </w:rPr>
      </w:pPr>
      <w:r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cs-CZ"/>
        </w:rPr>
        <w:t>5</w:t>
      </w:r>
      <w:r w:rsidR="00B33BEE" w:rsidRPr="00C47DDA">
        <w:rPr>
          <w:rFonts w:eastAsia="Times New Roman" w:cs="Times New Roman"/>
          <w:b/>
          <w:kern w:val="28"/>
          <w:lang w:eastAsia="cs-CZ"/>
        </w:rPr>
        <w:t xml:space="preserve">. </w:t>
      </w:r>
      <w:r w:rsidR="00A3209E" w:rsidRPr="00C47DDA">
        <w:rPr>
          <w:rFonts w:eastAsia="Times New Roman" w:cs="Times New Roman"/>
          <w:b/>
          <w:kern w:val="28"/>
          <w:lang w:eastAsia="cs-CZ"/>
        </w:rPr>
        <w:t>Požadavky na zajištění činností svářečského dozoru</w:t>
      </w:r>
    </w:p>
    <w:tbl>
      <w:tblPr>
        <w:tblW w:w="503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6"/>
        <w:gridCol w:w="981"/>
        <w:gridCol w:w="1094"/>
        <w:gridCol w:w="2216"/>
        <w:gridCol w:w="1246"/>
      </w:tblGrid>
      <w:tr w:rsidR="00A702B1" w:rsidRPr="00C47DDA" w14:paraId="27F8DC26" w14:textId="77777777" w:rsidTr="000A32D5">
        <w:tc>
          <w:tcPr>
            <w:tcW w:w="2059" w:type="pct"/>
          </w:tcPr>
          <w:p w14:paraId="378033DE" w14:textId="77777777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Činnost / Kdo ji bude zajišťovat</w:t>
            </w:r>
          </w:p>
        </w:tc>
        <w:tc>
          <w:tcPr>
            <w:tcW w:w="521" w:type="pct"/>
          </w:tcPr>
          <w:p w14:paraId="4C528DCF" w14:textId="318FB1E4" w:rsidR="00A3209E" w:rsidRPr="00C47DDA" w:rsidRDefault="00391BC0" w:rsidP="00391BC0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Objednatel</w:t>
            </w:r>
          </w:p>
        </w:tc>
        <w:tc>
          <w:tcPr>
            <w:tcW w:w="581" w:type="pct"/>
          </w:tcPr>
          <w:p w14:paraId="161726F4" w14:textId="77777777" w:rsidR="00A3209E" w:rsidRPr="00C47DDA" w:rsidRDefault="00A3209E" w:rsidP="004D5183">
            <w:pPr>
              <w:spacing w:after="0" w:line="240" w:lineRule="auto"/>
              <w:ind w:right="-108"/>
              <w:jc w:val="center"/>
              <w:rPr>
                <w:rFonts w:eastAsia="Times New Roman" w:cs="Times New Roman"/>
                <w:lang w:eastAsia="cs-CZ"/>
              </w:rPr>
            </w:pPr>
            <w:r w:rsidRPr="004D5183">
              <w:rPr>
                <w:rFonts w:eastAsia="Times New Roman" w:cs="Times New Roman"/>
                <w:lang w:eastAsia="cs-CZ"/>
              </w:rPr>
              <w:t>Dodavatel</w:t>
            </w:r>
          </w:p>
        </w:tc>
        <w:tc>
          <w:tcPr>
            <w:tcW w:w="1177" w:type="pct"/>
          </w:tcPr>
          <w:p w14:paraId="113E0F92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Požadavek na dolož. </w:t>
            </w:r>
            <w:proofErr w:type="gramStart"/>
            <w:r w:rsidRPr="00C47DDA">
              <w:rPr>
                <w:rFonts w:eastAsia="Times New Roman" w:cs="Times New Roman"/>
                <w:lang w:eastAsia="cs-CZ"/>
              </w:rPr>
              <w:t>záznamu</w:t>
            </w:r>
            <w:proofErr w:type="gramEnd"/>
            <w:r w:rsidRPr="00C47DDA">
              <w:rPr>
                <w:rFonts w:eastAsia="Times New Roman" w:cs="Times New Roman"/>
                <w:lang w:eastAsia="cs-CZ"/>
              </w:rPr>
              <w:t xml:space="preserve"> pro </w:t>
            </w:r>
            <w:proofErr w:type="spellStart"/>
            <w:r w:rsidRPr="00C47DDA">
              <w:rPr>
                <w:rFonts w:eastAsia="Times New Roman" w:cs="Times New Roman"/>
                <w:lang w:eastAsia="cs-CZ"/>
              </w:rPr>
              <w:t>výběr.říz</w:t>
            </w:r>
            <w:proofErr w:type="spellEnd"/>
            <w:r w:rsidRPr="00C47DDA">
              <w:rPr>
                <w:rFonts w:eastAsia="Times New Roman" w:cs="Times New Roman"/>
                <w:lang w:eastAsia="cs-CZ"/>
              </w:rPr>
              <w:t>.</w:t>
            </w:r>
            <w:r w:rsidR="001023A3" w:rsidRPr="00C47DDA">
              <w:rPr>
                <w:rFonts w:eastAsia="Times New Roman" w:cs="Times New Roman"/>
                <w:lang w:eastAsia="cs-CZ"/>
              </w:rPr>
              <w:t xml:space="preserve"> </w:t>
            </w:r>
            <w:r w:rsidRPr="00C47DDA">
              <w:rPr>
                <w:rFonts w:eastAsia="Times New Roman" w:cs="Times New Roman"/>
                <w:lang w:eastAsia="cs-CZ"/>
              </w:rPr>
              <w:t>/při realizaci</w:t>
            </w:r>
          </w:p>
        </w:tc>
        <w:tc>
          <w:tcPr>
            <w:tcW w:w="662" w:type="pct"/>
          </w:tcPr>
          <w:p w14:paraId="14E81EF8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Poznámka</w:t>
            </w:r>
          </w:p>
        </w:tc>
      </w:tr>
      <w:tr w:rsidR="00A702B1" w:rsidRPr="00C47DDA" w14:paraId="5774F42A" w14:textId="77777777" w:rsidTr="000A32D5">
        <w:tc>
          <w:tcPr>
            <w:tcW w:w="2059" w:type="pct"/>
          </w:tcPr>
          <w:p w14:paraId="11225F4C" w14:textId="77777777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Kvalifikovaný svářečský dozor</w:t>
            </w:r>
          </w:p>
        </w:tc>
        <w:tc>
          <w:tcPr>
            <w:tcW w:w="521" w:type="pct"/>
          </w:tcPr>
          <w:p w14:paraId="6EAE90A4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39EFDFF6" w14:textId="0FE66278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426FA7ED" w14:textId="46D4963F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3209E"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A3209E"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09E"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A3209E" w:rsidRPr="00C47DDA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089F47B" w14:textId="1DC8D92B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Při výběr. řízení</w:t>
            </w:r>
          </w:p>
        </w:tc>
      </w:tr>
      <w:tr w:rsidR="00A702B1" w:rsidRPr="00C47DDA" w14:paraId="6A5070F4" w14:textId="77777777" w:rsidTr="000A32D5">
        <w:tc>
          <w:tcPr>
            <w:tcW w:w="2059" w:type="pct"/>
          </w:tcPr>
          <w:p w14:paraId="3CC7D529" w14:textId="4BBBADE6" w:rsidR="00A3209E" w:rsidRPr="00C47DDA" w:rsidRDefault="00A3209E" w:rsidP="004E6B8A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Kvalifikace svářečů dle ISO 9606 nebo jiných příslušných norem EN</w:t>
            </w:r>
          </w:p>
        </w:tc>
        <w:tc>
          <w:tcPr>
            <w:tcW w:w="521" w:type="pct"/>
          </w:tcPr>
          <w:p w14:paraId="594960EE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F187EE6" w14:textId="53A0C8B7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19C921BD" w14:textId="053703EE" w:rsidR="00A3209E" w:rsidRPr="00C47DDA" w:rsidRDefault="00DA4949" w:rsidP="00AD0D0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3209E"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41FFD97" w14:textId="37E9B485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1B8056F9" w14:textId="77777777" w:rsidTr="000A32D5">
        <w:tc>
          <w:tcPr>
            <w:tcW w:w="2059" w:type="pct"/>
          </w:tcPr>
          <w:p w14:paraId="2B0A3E72" w14:textId="77777777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Kontrola osvědčení kvalifikací svářečů</w:t>
            </w:r>
          </w:p>
        </w:tc>
        <w:tc>
          <w:tcPr>
            <w:tcW w:w="521" w:type="pct"/>
          </w:tcPr>
          <w:p w14:paraId="430A7447" w14:textId="7D0626F7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031BB1F8" w14:textId="7F28D287" w:rsidR="00A3209E" w:rsidRPr="00C47DDA" w:rsidRDefault="009A1A78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58873954" w14:textId="6658F163" w:rsidR="00A3209E" w:rsidRPr="00C47DDA" w:rsidRDefault="00A3209E" w:rsidP="000A32D5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0A32D5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A32D5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0A32D5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6AF3B3C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57A5D39E" w14:textId="77777777" w:rsidTr="000A32D5">
        <w:tc>
          <w:tcPr>
            <w:tcW w:w="2059" w:type="pct"/>
          </w:tcPr>
          <w:p w14:paraId="259550B2" w14:textId="331EF5AF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Kvalifikace postupů svařování (WPQR) dle ISO 156</w:t>
            </w:r>
            <w:r w:rsidR="009A1A78">
              <w:rPr>
                <w:rFonts w:eastAsia="Times New Roman" w:cs="Times New Roman"/>
                <w:lang w:eastAsia="cs-CZ"/>
              </w:rPr>
              <w:t>14-1</w:t>
            </w:r>
          </w:p>
        </w:tc>
        <w:tc>
          <w:tcPr>
            <w:tcW w:w="521" w:type="pct"/>
          </w:tcPr>
          <w:p w14:paraId="6C458604" w14:textId="0573A494" w:rsidR="00A3209E" w:rsidRPr="00C47DDA" w:rsidRDefault="009A1A78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423340FD" w14:textId="03400541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4350F55D" w14:textId="12BD16B6" w:rsidR="00A3209E" w:rsidRPr="00C47DDA" w:rsidRDefault="00DF7B5F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  <w:r w:rsidR="00A3209E"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9A1A78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A1A78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9A1A78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13E1C741" w14:textId="49133411" w:rsidR="00A3209E" w:rsidRPr="00C47DDA" w:rsidRDefault="000A32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Při výběr. řízení</w:t>
            </w:r>
          </w:p>
        </w:tc>
      </w:tr>
      <w:tr w:rsidR="00C110B1" w:rsidRPr="00C47DDA" w14:paraId="5BDB348F" w14:textId="77777777" w:rsidTr="000A32D5">
        <w:tc>
          <w:tcPr>
            <w:tcW w:w="2059" w:type="pct"/>
          </w:tcPr>
          <w:p w14:paraId="54D6B95E" w14:textId="77777777" w:rsidR="00C110B1" w:rsidRPr="00C47DDA" w:rsidRDefault="00C110B1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21" w:type="pct"/>
          </w:tcPr>
          <w:p w14:paraId="4C923240" w14:textId="77777777" w:rsidR="00C110B1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81" w:type="pct"/>
          </w:tcPr>
          <w:p w14:paraId="1F9E98B2" w14:textId="77777777" w:rsidR="00C110B1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177" w:type="pct"/>
          </w:tcPr>
          <w:p w14:paraId="2254972B" w14:textId="77777777" w:rsidR="00C110B1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62" w:type="pct"/>
          </w:tcPr>
          <w:p w14:paraId="2238106F" w14:textId="77777777" w:rsidR="00C110B1" w:rsidRDefault="00C110B1" w:rsidP="00B33BEE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702B1" w:rsidRPr="00C47DDA" w14:paraId="673BC6FD" w14:textId="77777777" w:rsidTr="000A32D5">
        <w:tc>
          <w:tcPr>
            <w:tcW w:w="2059" w:type="pct"/>
          </w:tcPr>
          <w:p w14:paraId="0FB4276C" w14:textId="1D925368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Stanovení postupů svařování (WPS) dle </w:t>
            </w:r>
            <w:r w:rsidR="00DF7B5F">
              <w:rPr>
                <w:rFonts w:eastAsia="Times New Roman" w:cs="Times New Roman"/>
                <w:lang w:eastAsia="cs-CZ"/>
              </w:rPr>
              <w:t>ČSN EN ISO 15609-1</w:t>
            </w:r>
            <w:r w:rsidRPr="00C47DDA">
              <w:rPr>
                <w:rFonts w:eastAsia="Times New Roman" w:cs="Times New Roman"/>
                <w:lang w:eastAsia="cs-CZ"/>
              </w:rPr>
              <w:t xml:space="preserve"> </w:t>
            </w:r>
          </w:p>
        </w:tc>
        <w:tc>
          <w:tcPr>
            <w:tcW w:w="521" w:type="pct"/>
          </w:tcPr>
          <w:p w14:paraId="0D59179B" w14:textId="38F4752F" w:rsidR="00A3209E" w:rsidRPr="00C47DDA" w:rsidRDefault="00DF7B5F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2DEB3FB8" w14:textId="4589CCF9" w:rsidR="00A3209E" w:rsidRPr="00C47DDA" w:rsidRDefault="004D5183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34F84857" w14:textId="7997463E" w:rsidR="00A3209E" w:rsidRPr="00C47DDA" w:rsidRDefault="00A3209E" w:rsidP="004D5183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4D5183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D5183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4D5183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33FC0AEC" w14:textId="5B8918E8" w:rsidR="00A3209E" w:rsidRPr="00C47DDA" w:rsidRDefault="00DF7B5F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Před zahájení svařování</w:t>
            </w:r>
          </w:p>
        </w:tc>
      </w:tr>
      <w:tr w:rsidR="00A702B1" w:rsidRPr="00C47DDA" w14:paraId="444A4B64" w14:textId="77777777" w:rsidTr="000A32D5">
        <w:tc>
          <w:tcPr>
            <w:tcW w:w="2059" w:type="pct"/>
          </w:tcPr>
          <w:p w14:paraId="7B4DCE25" w14:textId="60E6A996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 xml:space="preserve">Stanovení sledu svařování jednotlivých svarů </w:t>
            </w:r>
            <w:r w:rsidR="00D8078C" w:rsidRPr="00C47DDA">
              <w:rPr>
                <w:rFonts w:eastAsia="Times New Roman" w:cs="Times New Roman"/>
                <w:lang w:eastAsia="cs-CZ"/>
              </w:rPr>
              <w:t>–</w:t>
            </w:r>
            <w:r w:rsidRPr="00C47DDA">
              <w:rPr>
                <w:rFonts w:eastAsia="Times New Roman" w:cs="Times New Roman"/>
                <w:lang w:eastAsia="cs-CZ"/>
              </w:rPr>
              <w:t xml:space="preserve"> </w:t>
            </w:r>
            <w:r w:rsidR="00DF7B5F">
              <w:rPr>
                <w:rFonts w:eastAsia="Times New Roman" w:cs="Times New Roman"/>
                <w:lang w:eastAsia="cs-CZ"/>
              </w:rPr>
              <w:t>TPS, PKZ, pokládkový deník atd.</w:t>
            </w:r>
          </w:p>
        </w:tc>
        <w:tc>
          <w:tcPr>
            <w:tcW w:w="521" w:type="pct"/>
          </w:tcPr>
          <w:p w14:paraId="72EA5368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228EA143" w14:textId="2760CC74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54CD5125" w14:textId="60A98FAB" w:rsidR="00A3209E" w:rsidRPr="00C47DDA" w:rsidRDefault="00A3209E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63AECF0F" w14:textId="77777777" w:rsidR="00A3209E" w:rsidRPr="00C47DDA" w:rsidRDefault="00A3209E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0FFDD0FE" w14:textId="77777777" w:rsidTr="000A32D5">
        <w:tc>
          <w:tcPr>
            <w:tcW w:w="2059" w:type="pct"/>
          </w:tcPr>
          <w:p w14:paraId="713B061B" w14:textId="77777777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Kontrola WPQR, WPS, TPS</w:t>
            </w:r>
          </w:p>
        </w:tc>
        <w:tc>
          <w:tcPr>
            <w:tcW w:w="521" w:type="pct"/>
          </w:tcPr>
          <w:p w14:paraId="00661E4B" w14:textId="004246C2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8A4C6AF" w14:textId="473831BD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1467248F" w14:textId="1FF54DC3" w:rsidR="00A3209E" w:rsidRPr="00C47DDA" w:rsidRDefault="00A3209E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3F242E9" w14:textId="02249C14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Tři dny před začátkem montáže</w:t>
            </w:r>
          </w:p>
        </w:tc>
      </w:tr>
      <w:tr w:rsidR="00A702B1" w:rsidRPr="00C47DDA" w14:paraId="6DD0C881" w14:textId="77777777" w:rsidTr="000A32D5">
        <w:tc>
          <w:tcPr>
            <w:tcW w:w="2059" w:type="pct"/>
          </w:tcPr>
          <w:p w14:paraId="17476CC7" w14:textId="77777777" w:rsidR="00A3209E" w:rsidRPr="00C47DDA" w:rsidRDefault="00A3209E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Plán-harmonogram kontrol a zkoušek</w:t>
            </w:r>
          </w:p>
        </w:tc>
        <w:tc>
          <w:tcPr>
            <w:tcW w:w="521" w:type="pct"/>
          </w:tcPr>
          <w:p w14:paraId="2A24D33B" w14:textId="2DD99A7E" w:rsidR="00A3209E" w:rsidRPr="00C47DDA" w:rsidRDefault="00DF7B5F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1C8361B" w14:textId="6B1EAD6B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58D08213" w14:textId="1F9F2621" w:rsidR="00A3209E" w:rsidRPr="00C47DDA" w:rsidRDefault="00A3209E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21AEBB1" w14:textId="14C1A3B4" w:rsidR="00A3209E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V rámci DPS</w:t>
            </w:r>
          </w:p>
        </w:tc>
      </w:tr>
      <w:tr w:rsidR="00A702B1" w:rsidRPr="00C47DDA" w14:paraId="2145EDA4" w14:textId="77777777" w:rsidTr="000A32D5">
        <w:tc>
          <w:tcPr>
            <w:tcW w:w="2059" w:type="pct"/>
          </w:tcPr>
          <w:p w14:paraId="7DA8E995" w14:textId="77777777" w:rsidR="00A660D5" w:rsidRPr="00C47DDA" w:rsidRDefault="001023A3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Kontrola základních materiálů</w:t>
            </w:r>
          </w:p>
        </w:tc>
        <w:tc>
          <w:tcPr>
            <w:tcW w:w="521" w:type="pct"/>
          </w:tcPr>
          <w:p w14:paraId="5415E88C" w14:textId="56C816D5" w:rsidR="00A660D5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7872098" w14:textId="6D18821F" w:rsidR="00A660D5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45FA49F9" w14:textId="5CC67F64" w:rsidR="00A660D5" w:rsidRPr="00C47DDA" w:rsidRDefault="001023A3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2DF4BEBC" w14:textId="77777777" w:rsidR="00A660D5" w:rsidRPr="00C47DDA" w:rsidRDefault="00A660D5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59B828CC" w14:textId="77777777" w:rsidTr="000A32D5">
        <w:tc>
          <w:tcPr>
            <w:tcW w:w="2059" w:type="pct"/>
          </w:tcPr>
          <w:p w14:paraId="12BA8107" w14:textId="77777777" w:rsidR="001023A3" w:rsidRPr="00C47DDA" w:rsidRDefault="001023A3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Kontrola přídavných svařovacích materiálů</w:t>
            </w:r>
          </w:p>
        </w:tc>
        <w:tc>
          <w:tcPr>
            <w:tcW w:w="521" w:type="pct"/>
          </w:tcPr>
          <w:p w14:paraId="17F491DB" w14:textId="42A371F1" w:rsidR="001023A3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1C8C4DC3" w14:textId="1378C7B8" w:rsidR="001023A3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4D8FE517" w14:textId="593800D1" w:rsidR="001023A3" w:rsidRPr="00C47DDA" w:rsidRDefault="001023A3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2454867D" w14:textId="77777777" w:rsidR="001023A3" w:rsidRPr="00C47DDA" w:rsidRDefault="001023A3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5E1E62B6" w14:textId="77777777" w:rsidTr="000A32D5">
        <w:tc>
          <w:tcPr>
            <w:tcW w:w="2059" w:type="pct"/>
          </w:tcPr>
          <w:p w14:paraId="09020D94" w14:textId="77777777" w:rsidR="001023A3" w:rsidRPr="00C47DDA" w:rsidRDefault="001023A3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Kontrola dodržování postupů svařování WPS a TPS</w:t>
            </w:r>
          </w:p>
        </w:tc>
        <w:tc>
          <w:tcPr>
            <w:tcW w:w="521" w:type="pct"/>
          </w:tcPr>
          <w:p w14:paraId="2ECF96B9" w14:textId="1D57BA09" w:rsidR="001023A3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CD5F445" w14:textId="7DD52203" w:rsidR="001023A3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6708FCB1" w14:textId="11C43383" w:rsidR="001023A3" w:rsidRPr="00C47DDA" w:rsidRDefault="001023A3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5ED2F56E" w14:textId="3B8153CC" w:rsidR="001023A3" w:rsidRPr="00C47DDA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průběžně</w:t>
            </w:r>
          </w:p>
        </w:tc>
      </w:tr>
      <w:tr w:rsidR="00A702B1" w:rsidRPr="00C47DDA" w14:paraId="69B46AD2" w14:textId="77777777" w:rsidTr="000A32D5">
        <w:tc>
          <w:tcPr>
            <w:tcW w:w="2059" w:type="pct"/>
          </w:tcPr>
          <w:p w14:paraId="4EBDD395" w14:textId="77777777" w:rsidR="00A77750" w:rsidRPr="00C47DDA" w:rsidRDefault="00A77750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Tepelné zpracování svarových spojů (pokud se vyskytuje)</w:t>
            </w:r>
          </w:p>
        </w:tc>
        <w:tc>
          <w:tcPr>
            <w:tcW w:w="521" w:type="pct"/>
          </w:tcPr>
          <w:p w14:paraId="636AD172" w14:textId="77777777" w:rsidR="00A77750" w:rsidRPr="00C47DDA" w:rsidRDefault="00A77750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13F1E5D9" w14:textId="131396D0" w:rsidR="00A77750" w:rsidRPr="00C47DDA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420B6ABB" w14:textId="4C706095" w:rsidR="00A77750" w:rsidRPr="00C47DDA" w:rsidRDefault="00A77750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275032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5032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275032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4B0A6AEA" w14:textId="3C0A1658" w:rsidR="00A77750" w:rsidRPr="00275032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  <w:r w:rsidRPr="00275032">
              <w:rPr>
                <w:rFonts w:eastAsia="Times New Roman" w:cs="Times New Roman"/>
                <w:sz w:val="20"/>
                <w:szCs w:val="20"/>
                <w:lang w:eastAsia="cs-CZ"/>
              </w:rPr>
              <w:t>Nevyžaduje se</w:t>
            </w:r>
          </w:p>
        </w:tc>
      </w:tr>
      <w:tr w:rsidR="00A702B1" w:rsidRPr="00C47DDA" w14:paraId="146EB545" w14:textId="77777777" w:rsidTr="000A32D5">
        <w:tc>
          <w:tcPr>
            <w:tcW w:w="2059" w:type="pct"/>
          </w:tcPr>
          <w:p w14:paraId="4972F5FF" w14:textId="77777777" w:rsidR="00A77750" w:rsidRPr="00C47DDA" w:rsidRDefault="00A77750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Řešení případných neshod (oprav) svarových spojů</w:t>
            </w:r>
          </w:p>
        </w:tc>
        <w:tc>
          <w:tcPr>
            <w:tcW w:w="521" w:type="pct"/>
          </w:tcPr>
          <w:p w14:paraId="5A540D34" w14:textId="0561EBAA" w:rsidR="00A77750" w:rsidRPr="00C47DDA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658B6E5D" w14:textId="5ECB97BC" w:rsidR="00A77750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3115C3E5" w14:textId="3664C75C" w:rsidR="00A77750" w:rsidRPr="00C47DDA" w:rsidRDefault="00A77750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2B09076D" w14:textId="77777777" w:rsidR="00A77750" w:rsidRPr="00C47DDA" w:rsidRDefault="00A77750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A702B1" w:rsidRPr="00C47DDA" w14:paraId="11B67287" w14:textId="77777777" w:rsidTr="000A32D5">
        <w:tc>
          <w:tcPr>
            <w:tcW w:w="2059" w:type="pct"/>
          </w:tcPr>
          <w:p w14:paraId="762CD548" w14:textId="77777777" w:rsidR="00A77750" w:rsidRPr="00C47DDA" w:rsidRDefault="00A77750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Záznamy o identifikaci svarových spojů</w:t>
            </w:r>
          </w:p>
        </w:tc>
        <w:tc>
          <w:tcPr>
            <w:tcW w:w="521" w:type="pct"/>
          </w:tcPr>
          <w:p w14:paraId="30FF145B" w14:textId="383B065F" w:rsidR="00A77750" w:rsidRPr="00C47DDA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44BCC1CC" w14:textId="61515E02" w:rsidR="00A77750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186387AD" w14:textId="64CD522B" w:rsidR="00A77750" w:rsidRPr="00C47DDA" w:rsidRDefault="00A77750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3D58C626" w14:textId="548E7B99" w:rsidR="00A77750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Průběžná kontrola </w:t>
            </w:r>
            <w:proofErr w:type="spellStart"/>
            <w:proofErr w:type="gramStart"/>
            <w:r>
              <w:rPr>
                <w:rFonts w:ascii="Calibri" w:hAnsi="Calibri"/>
                <w:sz w:val="20"/>
                <w:szCs w:val="20"/>
              </w:rPr>
              <w:t>svař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deníku</w:t>
            </w:r>
            <w:proofErr w:type="spellEnd"/>
            <w:proofErr w:type="gramEnd"/>
          </w:p>
        </w:tc>
      </w:tr>
      <w:tr w:rsidR="00A702B1" w:rsidRPr="00C47DDA" w14:paraId="2B80AAB0" w14:textId="77777777" w:rsidTr="000A32D5">
        <w:tc>
          <w:tcPr>
            <w:tcW w:w="2059" w:type="pct"/>
          </w:tcPr>
          <w:p w14:paraId="1F546CE7" w14:textId="77777777" w:rsidR="00A77750" w:rsidRPr="00C47DDA" w:rsidRDefault="00A77750" w:rsidP="00B33BE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t>Provedení stanovených kontrol svarových spojů</w:t>
            </w:r>
          </w:p>
        </w:tc>
        <w:tc>
          <w:tcPr>
            <w:tcW w:w="521" w:type="pct"/>
          </w:tcPr>
          <w:p w14:paraId="04E294D1" w14:textId="782A9784" w:rsidR="00A77750" w:rsidRPr="00C47DDA" w:rsidRDefault="00275032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581" w:type="pct"/>
          </w:tcPr>
          <w:p w14:paraId="0373C090" w14:textId="0BD0FCE5" w:rsidR="00A77750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1177" w:type="pct"/>
          </w:tcPr>
          <w:p w14:paraId="0AAF155B" w14:textId="1DC16A65" w:rsidR="00A77750" w:rsidRPr="00C47DDA" w:rsidRDefault="00A77750" w:rsidP="00C110B1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C47DDA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DDA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Pr="00C47DDA">
              <w:rPr>
                <w:rFonts w:eastAsia="Times New Roman" w:cs="Times New Roman"/>
                <w:lang w:eastAsia="cs-CZ"/>
              </w:rPr>
              <w:fldChar w:fldCharType="end"/>
            </w:r>
            <w:r w:rsidRPr="00C47DDA">
              <w:rPr>
                <w:rFonts w:eastAsia="Times New Roman" w:cs="Times New Roman"/>
                <w:lang w:eastAsia="cs-CZ"/>
              </w:rPr>
              <w:t xml:space="preserve">  /  </w:t>
            </w:r>
            <w:r w:rsidR="00C110B1">
              <w:rPr>
                <w:rFonts w:eastAsia="Times New Roman" w:cs="Times New Roman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110B1">
              <w:rPr>
                <w:rFonts w:eastAsia="Times New Roman" w:cs="Times New Roman"/>
                <w:lang w:eastAsia="cs-CZ"/>
              </w:rPr>
              <w:instrText xml:space="preserve"> FORMCHECKBOX </w:instrText>
            </w:r>
            <w:r w:rsidR="00E33975">
              <w:rPr>
                <w:rFonts w:eastAsia="Times New Roman" w:cs="Times New Roman"/>
                <w:lang w:eastAsia="cs-CZ"/>
              </w:rPr>
            </w:r>
            <w:r w:rsidR="00E33975">
              <w:rPr>
                <w:rFonts w:eastAsia="Times New Roman" w:cs="Times New Roman"/>
                <w:lang w:eastAsia="cs-CZ"/>
              </w:rPr>
              <w:fldChar w:fldCharType="separate"/>
            </w:r>
            <w:r w:rsidR="00C110B1">
              <w:rPr>
                <w:rFonts w:eastAsia="Times New Roman" w:cs="Times New Roman"/>
                <w:lang w:eastAsia="cs-CZ"/>
              </w:rPr>
              <w:fldChar w:fldCharType="end"/>
            </w:r>
          </w:p>
        </w:tc>
        <w:tc>
          <w:tcPr>
            <w:tcW w:w="662" w:type="pct"/>
          </w:tcPr>
          <w:p w14:paraId="79D2EAA5" w14:textId="51945570" w:rsidR="00A77750" w:rsidRPr="00C47DDA" w:rsidRDefault="00C110B1" w:rsidP="00B33BEE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Průběžná kontrola </w:t>
            </w:r>
            <w:proofErr w:type="spellStart"/>
            <w:proofErr w:type="gramStart"/>
            <w:r>
              <w:rPr>
                <w:rFonts w:ascii="Calibri" w:hAnsi="Calibri"/>
                <w:sz w:val="20"/>
                <w:szCs w:val="20"/>
              </w:rPr>
              <w:t>svař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.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deníku</w:t>
            </w:r>
            <w:proofErr w:type="spellEnd"/>
            <w:proofErr w:type="gramEnd"/>
          </w:p>
        </w:tc>
      </w:tr>
    </w:tbl>
    <w:p w14:paraId="0220E766" w14:textId="77777777" w:rsidR="008C3C4A" w:rsidRPr="00C47DDA" w:rsidRDefault="008C3C4A" w:rsidP="003D1C99">
      <w:pPr>
        <w:rPr>
          <w:rFonts w:cs="Times New Roman"/>
        </w:rPr>
      </w:pPr>
    </w:p>
    <w:p w14:paraId="4359F624" w14:textId="47018E01" w:rsidR="00301C02" w:rsidRPr="00C47DDA" w:rsidRDefault="00275032" w:rsidP="00301C02">
      <w:pPr>
        <w:pStyle w:val="Nadpis1"/>
        <w:tabs>
          <w:tab w:val="num" w:pos="432"/>
        </w:tabs>
        <w:spacing w:before="240" w:after="60"/>
        <w:ind w:left="432" w:hanging="432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lastRenderedPageBreak/>
        <w:t>6</w:t>
      </w:r>
      <w:r w:rsidR="00301C02" w:rsidRPr="00C47DDA">
        <w:rPr>
          <w:rFonts w:asciiTheme="minorHAnsi" w:hAnsiTheme="minorHAnsi"/>
          <w:sz w:val="22"/>
          <w:szCs w:val="20"/>
        </w:rPr>
        <w:t xml:space="preserve">. </w:t>
      </w:r>
      <w:r w:rsidR="00301C02" w:rsidRPr="00C47DDA">
        <w:rPr>
          <w:rFonts w:asciiTheme="minorHAnsi" w:hAnsiTheme="minorHAnsi"/>
          <w:sz w:val="22"/>
          <w:szCs w:val="20"/>
        </w:rPr>
        <w:tab/>
        <w:t>Další požadavky:</w:t>
      </w:r>
    </w:p>
    <w:p w14:paraId="1AA48306" w14:textId="77777777" w:rsidR="00301C02" w:rsidRPr="00275032" w:rsidRDefault="00301C02" w:rsidP="00301C02">
      <w:pPr>
        <w:pStyle w:val="Nadpis1"/>
        <w:tabs>
          <w:tab w:val="num" w:pos="432"/>
        </w:tabs>
        <w:spacing w:before="240" w:after="60"/>
        <w:ind w:left="432" w:hanging="432"/>
        <w:rPr>
          <w:rFonts w:asciiTheme="minorHAnsi" w:hAnsiTheme="minorHAnsi"/>
          <w:sz w:val="20"/>
          <w:szCs w:val="20"/>
        </w:rPr>
      </w:pPr>
      <w:r w:rsidRPr="00275032">
        <w:rPr>
          <w:rFonts w:asciiTheme="minorHAnsi" w:hAnsiTheme="minorHAnsi"/>
          <w:sz w:val="20"/>
          <w:szCs w:val="20"/>
        </w:rPr>
        <w:t>Požadavky pro montáž:</w:t>
      </w:r>
    </w:p>
    <w:p w14:paraId="34433F6B" w14:textId="77777777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>Vedení svářečského deníku</w:t>
      </w:r>
    </w:p>
    <w:p w14:paraId="12E4B53B" w14:textId="77777777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>Identifikace svářečů</w:t>
      </w:r>
    </w:p>
    <w:p w14:paraId="6B09453D" w14:textId="77777777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>Identifikace svarových spojů</w:t>
      </w:r>
      <w:r w:rsidR="008C3C4A" w:rsidRPr="00275032">
        <w:rPr>
          <w:rFonts w:cs="Times New Roman"/>
          <w:sz w:val="20"/>
          <w:szCs w:val="20"/>
        </w:rPr>
        <w:t xml:space="preserve"> </w:t>
      </w:r>
      <w:r w:rsidRPr="00275032">
        <w:rPr>
          <w:rFonts w:cs="Times New Roman"/>
          <w:sz w:val="20"/>
          <w:szCs w:val="20"/>
        </w:rPr>
        <w:t>(způsob provedení po dohodě s objednatelem)</w:t>
      </w:r>
    </w:p>
    <w:p w14:paraId="5DB226D3" w14:textId="2A07B8D1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>Vést evidenci výdeje př</w:t>
      </w:r>
      <w:r w:rsidR="00275032" w:rsidRPr="00275032">
        <w:rPr>
          <w:rFonts w:cs="Times New Roman"/>
          <w:sz w:val="20"/>
          <w:szCs w:val="20"/>
        </w:rPr>
        <w:t>í</w:t>
      </w:r>
      <w:r w:rsidRPr="00275032">
        <w:rPr>
          <w:rFonts w:cs="Times New Roman"/>
          <w:sz w:val="20"/>
          <w:szCs w:val="20"/>
        </w:rPr>
        <w:t>d</w:t>
      </w:r>
      <w:r w:rsidR="00275032" w:rsidRPr="00275032">
        <w:rPr>
          <w:rFonts w:cs="Times New Roman"/>
          <w:sz w:val="20"/>
          <w:szCs w:val="20"/>
        </w:rPr>
        <w:t>avného</w:t>
      </w:r>
      <w:r w:rsidRPr="00275032">
        <w:rPr>
          <w:rFonts w:cs="Times New Roman"/>
          <w:sz w:val="20"/>
          <w:szCs w:val="20"/>
        </w:rPr>
        <w:t xml:space="preserve"> materiálu a dodržovat předpis pro sušení </w:t>
      </w:r>
      <w:r w:rsidR="00275032" w:rsidRPr="00275032">
        <w:rPr>
          <w:rFonts w:cs="Times New Roman"/>
          <w:sz w:val="20"/>
          <w:szCs w:val="20"/>
        </w:rPr>
        <w:t xml:space="preserve">elektroda </w:t>
      </w:r>
      <w:r w:rsidRPr="00275032">
        <w:rPr>
          <w:rFonts w:cs="Times New Roman"/>
          <w:sz w:val="20"/>
          <w:szCs w:val="20"/>
        </w:rPr>
        <w:t>a temperaci př</w:t>
      </w:r>
      <w:r w:rsidR="00275032" w:rsidRPr="00275032">
        <w:rPr>
          <w:rFonts w:cs="Times New Roman"/>
          <w:sz w:val="20"/>
          <w:szCs w:val="20"/>
        </w:rPr>
        <w:t>í</w:t>
      </w:r>
      <w:r w:rsidRPr="00275032">
        <w:rPr>
          <w:rFonts w:cs="Times New Roman"/>
          <w:sz w:val="20"/>
          <w:szCs w:val="20"/>
        </w:rPr>
        <w:t>d</w:t>
      </w:r>
      <w:r w:rsidR="00275032" w:rsidRPr="00275032">
        <w:rPr>
          <w:rFonts w:cs="Times New Roman"/>
          <w:sz w:val="20"/>
          <w:szCs w:val="20"/>
        </w:rPr>
        <w:t>avného</w:t>
      </w:r>
      <w:r w:rsidRPr="00275032">
        <w:rPr>
          <w:rFonts w:cs="Times New Roman"/>
          <w:sz w:val="20"/>
          <w:szCs w:val="20"/>
        </w:rPr>
        <w:t xml:space="preserve"> materiálu</w:t>
      </w:r>
    </w:p>
    <w:p w14:paraId="16885BA0" w14:textId="77777777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>Dodržovat platnou legislativu a interní dokumenty objednatele</w:t>
      </w:r>
    </w:p>
    <w:p w14:paraId="082FBCFB" w14:textId="77777777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 xml:space="preserve">Při prvním porušení svarové kázně, bude tato skutečnost řešena se svářečem a následně svářečským dozorem </w:t>
      </w:r>
      <w:r w:rsidR="00F9173F" w:rsidRPr="00275032">
        <w:rPr>
          <w:rFonts w:cs="Times New Roman"/>
          <w:sz w:val="20"/>
          <w:szCs w:val="20"/>
        </w:rPr>
        <w:t>dodavatele</w:t>
      </w:r>
      <w:r w:rsidRPr="00275032">
        <w:rPr>
          <w:rFonts w:cs="Times New Roman"/>
          <w:sz w:val="20"/>
          <w:szCs w:val="20"/>
        </w:rPr>
        <w:t>. Při opakovaném porušení svarové kázně bude svářeč vyloučen z pr</w:t>
      </w:r>
      <w:r w:rsidR="00243345" w:rsidRPr="00275032">
        <w:rPr>
          <w:rFonts w:cs="Times New Roman"/>
          <w:sz w:val="20"/>
          <w:szCs w:val="20"/>
        </w:rPr>
        <w:t>a</w:t>
      </w:r>
      <w:r w:rsidRPr="00275032">
        <w:rPr>
          <w:rFonts w:cs="Times New Roman"/>
          <w:sz w:val="20"/>
          <w:szCs w:val="20"/>
        </w:rPr>
        <w:t>cí na stavbě (montáží)</w:t>
      </w:r>
    </w:p>
    <w:p w14:paraId="2A7190F9" w14:textId="7AB116D9" w:rsidR="00301C02" w:rsidRPr="00275032" w:rsidRDefault="00F9173F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>Dodavatel</w:t>
      </w:r>
      <w:r w:rsidR="00275032">
        <w:rPr>
          <w:rFonts w:cs="Times New Roman"/>
          <w:sz w:val="20"/>
          <w:szCs w:val="20"/>
        </w:rPr>
        <w:t xml:space="preserve"> nebo </w:t>
      </w:r>
      <w:r w:rsidR="00956960">
        <w:rPr>
          <w:rFonts w:cs="Times New Roman"/>
          <w:sz w:val="20"/>
          <w:szCs w:val="20"/>
        </w:rPr>
        <w:t>pod</w:t>
      </w:r>
      <w:r w:rsidR="00275032">
        <w:rPr>
          <w:rFonts w:cs="Times New Roman"/>
          <w:sz w:val="20"/>
          <w:szCs w:val="20"/>
        </w:rPr>
        <w:t>dodavatel provádějící NDT</w:t>
      </w:r>
      <w:r w:rsidR="00301C02" w:rsidRPr="00275032">
        <w:rPr>
          <w:rFonts w:cs="Times New Roman"/>
          <w:sz w:val="20"/>
          <w:szCs w:val="20"/>
        </w:rPr>
        <w:t xml:space="preserve"> je povinen se řídit při vyhodnocování RT snímků svarů </w:t>
      </w:r>
      <w:r w:rsidR="00275032">
        <w:rPr>
          <w:rFonts w:cs="Times New Roman"/>
          <w:sz w:val="20"/>
          <w:szCs w:val="20"/>
        </w:rPr>
        <w:t>dle platné legislativy ve stupni vyhodnocení viz. výše.</w:t>
      </w:r>
    </w:p>
    <w:p w14:paraId="61D3653D" w14:textId="6B1E76A8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 xml:space="preserve">Objednateli budou neprodleně tj. maximálně do 24hodin předány RT snímky na </w:t>
      </w:r>
      <w:r w:rsidR="00C02C49" w:rsidRPr="00275032">
        <w:rPr>
          <w:rFonts w:cs="Times New Roman"/>
          <w:sz w:val="20"/>
          <w:szCs w:val="20"/>
        </w:rPr>
        <w:t xml:space="preserve">případné </w:t>
      </w:r>
      <w:r w:rsidRPr="00275032">
        <w:rPr>
          <w:rFonts w:cs="Times New Roman"/>
          <w:sz w:val="20"/>
          <w:szCs w:val="20"/>
        </w:rPr>
        <w:t>přehodnocení. Objednatel sám posoudí</w:t>
      </w:r>
      <w:r w:rsidR="00243345" w:rsidRPr="00275032">
        <w:rPr>
          <w:rFonts w:cs="Times New Roman"/>
          <w:sz w:val="20"/>
          <w:szCs w:val="20"/>
        </w:rPr>
        <w:t>,</w:t>
      </w:r>
      <w:r w:rsidRPr="00275032">
        <w:rPr>
          <w:rFonts w:cs="Times New Roman"/>
          <w:sz w:val="20"/>
          <w:szCs w:val="20"/>
        </w:rPr>
        <w:t xml:space="preserve"> zda jsou svary přípustné. V</w:t>
      </w:r>
      <w:r w:rsidR="00C02C49" w:rsidRPr="00275032">
        <w:rPr>
          <w:rFonts w:cs="Times New Roman"/>
          <w:sz w:val="20"/>
          <w:szCs w:val="20"/>
        </w:rPr>
        <w:t> </w:t>
      </w:r>
      <w:r w:rsidRPr="00275032">
        <w:rPr>
          <w:rFonts w:cs="Times New Roman"/>
          <w:sz w:val="20"/>
          <w:szCs w:val="20"/>
        </w:rPr>
        <w:t>případě že vyhodnotí svary jako nepřípustné</w:t>
      </w:r>
      <w:r w:rsidR="00243345" w:rsidRPr="00275032">
        <w:rPr>
          <w:rFonts w:cs="Times New Roman"/>
          <w:sz w:val="20"/>
          <w:szCs w:val="20"/>
        </w:rPr>
        <w:t>,</w:t>
      </w:r>
      <w:r w:rsidRPr="00275032">
        <w:rPr>
          <w:rFonts w:cs="Times New Roman"/>
          <w:sz w:val="20"/>
          <w:szCs w:val="20"/>
        </w:rPr>
        <w:t xml:space="preserve"> </w:t>
      </w:r>
      <w:r w:rsidR="00F9173F" w:rsidRPr="00275032">
        <w:rPr>
          <w:rFonts w:cs="Times New Roman"/>
          <w:sz w:val="20"/>
          <w:szCs w:val="20"/>
        </w:rPr>
        <w:t>dodavatel</w:t>
      </w:r>
      <w:r w:rsidRPr="00275032">
        <w:rPr>
          <w:rFonts w:cs="Times New Roman"/>
          <w:sz w:val="20"/>
          <w:szCs w:val="20"/>
        </w:rPr>
        <w:t xml:space="preserve"> neprodleně svary opraví a znovu provede RT to vše neprodleně. </w:t>
      </w:r>
    </w:p>
    <w:p w14:paraId="05DFCBA0" w14:textId="2041AA84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 xml:space="preserve">Objednatel si vyhrazuje právo na RT kontrolu jakéhokoliv svarového spoje, který již byl předmětem NDT kontroly </w:t>
      </w:r>
    </w:p>
    <w:p w14:paraId="75937344" w14:textId="11C90107" w:rsidR="00301C02" w:rsidRPr="00275032" w:rsidRDefault="00301C02" w:rsidP="00301C02">
      <w:pPr>
        <w:numPr>
          <w:ilvl w:val="0"/>
          <w:numId w:val="1"/>
        </w:numPr>
        <w:spacing w:after="0"/>
        <w:ind w:left="714" w:hanging="357"/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 xml:space="preserve">O NDT kontrolách bude informován objednatel minimálně 24 hodin předem, tak, aby se mohl zúčastnit </w:t>
      </w:r>
      <w:r w:rsidR="00275032">
        <w:rPr>
          <w:rFonts w:cs="Times New Roman"/>
          <w:sz w:val="20"/>
          <w:szCs w:val="20"/>
        </w:rPr>
        <w:t xml:space="preserve">případné namátkové </w:t>
      </w:r>
      <w:r w:rsidRPr="00275032">
        <w:rPr>
          <w:rFonts w:cs="Times New Roman"/>
          <w:sz w:val="20"/>
          <w:szCs w:val="20"/>
        </w:rPr>
        <w:t>kontroly</w:t>
      </w:r>
      <w:r w:rsidR="00275032">
        <w:rPr>
          <w:rFonts w:cs="Times New Roman"/>
          <w:sz w:val="20"/>
          <w:szCs w:val="20"/>
        </w:rPr>
        <w:t xml:space="preserve"> provádění těchto NDT zkoušek</w:t>
      </w:r>
      <w:r w:rsidRPr="00275032">
        <w:rPr>
          <w:rFonts w:cs="Times New Roman"/>
          <w:sz w:val="20"/>
          <w:szCs w:val="20"/>
        </w:rPr>
        <w:t>. Tato skutečnost bude zohledněna v </w:t>
      </w:r>
      <w:r w:rsidR="00CD58D5" w:rsidRPr="00275032">
        <w:rPr>
          <w:rFonts w:cs="Times New Roman"/>
          <w:sz w:val="20"/>
          <w:szCs w:val="20"/>
        </w:rPr>
        <w:t xml:space="preserve">PŘJ </w:t>
      </w:r>
      <w:r w:rsidRPr="00275032">
        <w:rPr>
          <w:rFonts w:cs="Times New Roman"/>
          <w:sz w:val="20"/>
          <w:szCs w:val="20"/>
        </w:rPr>
        <w:t xml:space="preserve">jako záchytný bod.   </w:t>
      </w:r>
    </w:p>
    <w:p w14:paraId="0406A553" w14:textId="3C0A0B1C" w:rsidR="008C3C4A" w:rsidRPr="00275032" w:rsidRDefault="008C3C4A" w:rsidP="008C3C4A">
      <w:pPr>
        <w:pStyle w:val="Nadpis1"/>
        <w:tabs>
          <w:tab w:val="num" w:pos="432"/>
        </w:tabs>
        <w:spacing w:before="240"/>
        <w:ind w:left="432" w:hanging="432"/>
        <w:rPr>
          <w:rFonts w:asciiTheme="minorHAnsi" w:hAnsiTheme="minorHAnsi"/>
          <w:sz w:val="20"/>
          <w:szCs w:val="20"/>
        </w:rPr>
      </w:pPr>
      <w:r w:rsidRPr="00275032">
        <w:rPr>
          <w:rFonts w:asciiTheme="minorHAnsi" w:hAnsiTheme="minorHAnsi"/>
          <w:sz w:val="20"/>
          <w:szCs w:val="20"/>
        </w:rPr>
        <w:t xml:space="preserve">Požadavky na </w:t>
      </w:r>
      <w:r w:rsidR="00D37721" w:rsidRPr="00275032">
        <w:rPr>
          <w:rFonts w:asciiTheme="minorHAnsi" w:hAnsiTheme="minorHAnsi"/>
          <w:sz w:val="20"/>
          <w:szCs w:val="20"/>
        </w:rPr>
        <w:t xml:space="preserve">nové </w:t>
      </w:r>
      <w:r w:rsidR="00A702B1" w:rsidRPr="00275032">
        <w:rPr>
          <w:rFonts w:asciiTheme="minorHAnsi" w:hAnsiTheme="minorHAnsi"/>
          <w:sz w:val="20"/>
          <w:szCs w:val="20"/>
        </w:rPr>
        <w:t>pod</w:t>
      </w:r>
      <w:r w:rsidRPr="00275032">
        <w:rPr>
          <w:rFonts w:asciiTheme="minorHAnsi" w:hAnsiTheme="minorHAnsi"/>
          <w:sz w:val="20"/>
          <w:szCs w:val="20"/>
        </w:rPr>
        <w:t xml:space="preserve">dodavatele </w:t>
      </w:r>
    </w:p>
    <w:p w14:paraId="0BB8F92A" w14:textId="13B0BFC5" w:rsidR="00391BC0" w:rsidRPr="00275032" w:rsidRDefault="008C3C4A" w:rsidP="00A702B1">
      <w:pPr>
        <w:pStyle w:val="Zkladntext"/>
        <w:numPr>
          <w:ilvl w:val="12"/>
          <w:numId w:val="0"/>
        </w:numPr>
        <w:rPr>
          <w:rFonts w:cs="Times New Roman"/>
          <w:sz w:val="20"/>
          <w:szCs w:val="20"/>
        </w:rPr>
      </w:pPr>
      <w:r w:rsidRPr="00275032">
        <w:rPr>
          <w:rFonts w:cs="Times New Roman"/>
          <w:sz w:val="20"/>
          <w:szCs w:val="20"/>
        </w:rPr>
        <w:t xml:space="preserve">Pokud </w:t>
      </w:r>
      <w:r w:rsidR="00F9173F" w:rsidRPr="00275032">
        <w:rPr>
          <w:rFonts w:cs="Times New Roman"/>
          <w:sz w:val="20"/>
          <w:szCs w:val="20"/>
        </w:rPr>
        <w:t>dodavatel</w:t>
      </w:r>
      <w:r w:rsidRPr="00275032">
        <w:rPr>
          <w:rFonts w:cs="Times New Roman"/>
          <w:sz w:val="20"/>
          <w:szCs w:val="20"/>
        </w:rPr>
        <w:t xml:space="preserve"> využije k realizaci zakázky na některou s činností související se svařováním </w:t>
      </w:r>
      <w:r w:rsidR="00A702B1" w:rsidRPr="00275032">
        <w:rPr>
          <w:rFonts w:cs="Times New Roman"/>
          <w:sz w:val="20"/>
          <w:szCs w:val="20"/>
        </w:rPr>
        <w:t>jiného než uvedeného pod</w:t>
      </w:r>
      <w:r w:rsidRPr="00275032">
        <w:rPr>
          <w:rFonts w:cs="Times New Roman"/>
          <w:sz w:val="20"/>
          <w:szCs w:val="20"/>
        </w:rPr>
        <w:t>dodavatele</w:t>
      </w:r>
      <w:r w:rsidR="007F4420" w:rsidRPr="00275032">
        <w:rPr>
          <w:rFonts w:cs="Times New Roman"/>
          <w:sz w:val="20"/>
          <w:szCs w:val="20"/>
        </w:rPr>
        <w:t xml:space="preserve"> v bodě </w:t>
      </w:r>
      <w:r w:rsidR="00E33975">
        <w:rPr>
          <w:rFonts w:cs="Times New Roman"/>
          <w:sz w:val="20"/>
          <w:szCs w:val="20"/>
        </w:rPr>
        <w:t>2</w:t>
      </w:r>
      <w:r w:rsidRPr="00275032">
        <w:rPr>
          <w:rFonts w:cs="Times New Roman"/>
          <w:sz w:val="20"/>
          <w:szCs w:val="20"/>
        </w:rPr>
        <w:t xml:space="preserve">, musí o </w:t>
      </w:r>
      <w:r w:rsidR="003B0D17" w:rsidRPr="00275032">
        <w:rPr>
          <w:rFonts w:cs="Times New Roman"/>
          <w:sz w:val="20"/>
          <w:szCs w:val="20"/>
        </w:rPr>
        <w:t>tom</w:t>
      </w:r>
      <w:r w:rsidRPr="00275032">
        <w:rPr>
          <w:rFonts w:cs="Times New Roman"/>
          <w:sz w:val="20"/>
          <w:szCs w:val="20"/>
        </w:rPr>
        <w:t xml:space="preserve"> informovat vrcholový svářečský dozor </w:t>
      </w:r>
      <w:r w:rsidR="004D0EC4" w:rsidRPr="00275032">
        <w:rPr>
          <w:rFonts w:cs="Times New Roman"/>
          <w:sz w:val="20"/>
          <w:szCs w:val="20"/>
        </w:rPr>
        <w:t xml:space="preserve">a příslušného pracovníka technického dozoru </w:t>
      </w:r>
      <w:r w:rsidR="00A702B1" w:rsidRPr="00275032">
        <w:rPr>
          <w:rFonts w:cs="Times New Roman"/>
          <w:sz w:val="20"/>
          <w:szCs w:val="20"/>
        </w:rPr>
        <w:t>objednatele</w:t>
      </w:r>
      <w:r w:rsidR="00BB79DE">
        <w:rPr>
          <w:rFonts w:cs="Times New Roman"/>
          <w:sz w:val="20"/>
          <w:szCs w:val="20"/>
        </w:rPr>
        <w:t xml:space="preserve"> (TDS)</w:t>
      </w:r>
      <w:r w:rsidRPr="00275032">
        <w:rPr>
          <w:rFonts w:cs="Times New Roman"/>
          <w:sz w:val="20"/>
          <w:szCs w:val="20"/>
        </w:rPr>
        <w:t xml:space="preserve">. </w:t>
      </w:r>
      <w:r w:rsidR="007F4420" w:rsidRPr="00275032">
        <w:rPr>
          <w:rFonts w:cs="Times New Roman"/>
          <w:sz w:val="20"/>
          <w:szCs w:val="20"/>
        </w:rPr>
        <w:t>Tito poddodavatelé musí splňovat požadavky objednatele na zajištění jakosti při svařování.</w:t>
      </w:r>
    </w:p>
    <w:p w14:paraId="786FF00E" w14:textId="588E60E2" w:rsidR="00301C02" w:rsidRDefault="00301C02" w:rsidP="003D1C99">
      <w:pPr>
        <w:rPr>
          <w:rFonts w:ascii="Times New Roman" w:hAnsi="Times New Roman" w:cs="Times New Roman"/>
          <w:sz w:val="20"/>
          <w:szCs w:val="20"/>
        </w:rPr>
      </w:pPr>
    </w:p>
    <w:p w14:paraId="69279A1C" w14:textId="2F502679" w:rsidR="000864D0" w:rsidRDefault="000864D0" w:rsidP="003D1C99">
      <w:pPr>
        <w:rPr>
          <w:rFonts w:ascii="Times New Roman" w:hAnsi="Times New Roman" w:cs="Times New Roman"/>
          <w:sz w:val="20"/>
          <w:szCs w:val="20"/>
        </w:rPr>
      </w:pPr>
    </w:p>
    <w:p w14:paraId="30E0C4ED" w14:textId="3B6EE5FA" w:rsidR="000864D0" w:rsidRDefault="000864D0" w:rsidP="003D1C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Vypracoval dna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xx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proofErr w:type="gramStart"/>
      <w:r>
        <w:rPr>
          <w:rFonts w:ascii="Times New Roman" w:hAnsi="Times New Roman" w:cs="Times New Roman"/>
          <w:sz w:val="20"/>
          <w:szCs w:val="20"/>
        </w:rPr>
        <w:t>xx</w:t>
      </w:r>
      <w:proofErr w:type="gramEnd"/>
      <w:r>
        <w:rPr>
          <w:rFonts w:ascii="Times New Roman" w:hAnsi="Times New Roman" w:cs="Times New Roman"/>
          <w:sz w:val="20"/>
          <w:szCs w:val="20"/>
        </w:rPr>
        <w:t>.xxxx</w:t>
      </w:r>
      <w:proofErr w:type="spellEnd"/>
      <w:r>
        <w:rPr>
          <w:rFonts w:ascii="Times New Roman" w:hAnsi="Times New Roman" w:cs="Times New Roman"/>
          <w:sz w:val="20"/>
          <w:szCs w:val="20"/>
        </w:rPr>
        <w:t>:</w:t>
      </w:r>
    </w:p>
    <w:p w14:paraId="751F9272" w14:textId="5E11F0BC" w:rsidR="000864D0" w:rsidRDefault="000864D0" w:rsidP="003D1C9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Jméno a příjmení</w:t>
      </w:r>
    </w:p>
    <w:p w14:paraId="714D3FB9" w14:textId="77777777" w:rsidR="000864D0" w:rsidRPr="004D6CB8" w:rsidRDefault="000864D0" w:rsidP="003D1C99">
      <w:pPr>
        <w:rPr>
          <w:rFonts w:ascii="Times New Roman" w:hAnsi="Times New Roman" w:cs="Times New Roman"/>
          <w:sz w:val="20"/>
          <w:szCs w:val="20"/>
        </w:rPr>
      </w:pPr>
    </w:p>
    <w:sectPr w:rsidR="000864D0" w:rsidRPr="004D6CB8" w:rsidSect="009221FC">
      <w:headerReference w:type="default" r:id="rId8"/>
      <w:footerReference w:type="default" r:id="rId9"/>
      <w:pgSz w:w="11906" w:h="16838"/>
      <w:pgMar w:top="1417" w:right="1274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86865" w14:textId="77777777" w:rsidR="00D961D2" w:rsidRDefault="00D961D2">
      <w:pPr>
        <w:spacing w:after="0" w:line="240" w:lineRule="auto"/>
      </w:pPr>
      <w:r>
        <w:separator/>
      </w:r>
    </w:p>
  </w:endnote>
  <w:endnote w:type="continuationSeparator" w:id="0">
    <w:p w14:paraId="7A810DD1" w14:textId="77777777" w:rsidR="00D961D2" w:rsidRDefault="00D96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25381"/>
      <w:docPartObj>
        <w:docPartGallery w:val="Page Numbers (Bottom of Page)"/>
        <w:docPartUnique/>
      </w:docPartObj>
    </w:sdtPr>
    <w:sdtEndPr/>
    <w:sdtContent>
      <w:p w14:paraId="1D1DD673" w14:textId="43120DA4" w:rsidR="00564D8A" w:rsidRDefault="00564D8A" w:rsidP="00301C02">
        <w:pPr>
          <w:pStyle w:val="Zpat"/>
          <w:tabs>
            <w:tab w:val="center" w:pos="4678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33975">
          <w:rPr>
            <w:noProof/>
          </w:rPr>
          <w:t>3</w:t>
        </w:r>
        <w:r>
          <w:fldChar w:fldCharType="end"/>
        </w:r>
      </w:p>
    </w:sdtContent>
  </w:sdt>
  <w:p w14:paraId="1CB8AD8E" w14:textId="77777777" w:rsidR="00564D8A" w:rsidRPr="00133649" w:rsidRDefault="00564D8A" w:rsidP="00F268CE">
    <w:pPr>
      <w:pStyle w:val="Zpat"/>
      <w:spacing w:before="60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8E4A9" w14:textId="77777777" w:rsidR="00D961D2" w:rsidRDefault="00D961D2">
      <w:pPr>
        <w:spacing w:after="0" w:line="240" w:lineRule="auto"/>
      </w:pPr>
      <w:r>
        <w:separator/>
      </w:r>
    </w:p>
  </w:footnote>
  <w:footnote w:type="continuationSeparator" w:id="0">
    <w:p w14:paraId="0382C0D1" w14:textId="77777777" w:rsidR="00D961D2" w:rsidRDefault="00D96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73" w:type="dxa"/>
      <w:jc w:val="center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6"/>
      <w:gridCol w:w="4754"/>
      <w:gridCol w:w="2493"/>
    </w:tblGrid>
    <w:tr w:rsidR="00564D8A" w:rsidRPr="00C6640F" w14:paraId="089DD989" w14:textId="77777777" w:rsidTr="000A32D5">
      <w:trPr>
        <w:jc w:val="center"/>
      </w:trPr>
      <w:tc>
        <w:tcPr>
          <w:tcW w:w="2426" w:type="dxa"/>
        </w:tcPr>
        <w:p w14:paraId="742ECCB4" w14:textId="07A3492C" w:rsidR="00564D8A" w:rsidRDefault="00564D8A" w:rsidP="000A32D5">
          <w:pPr>
            <w:pStyle w:val="Zkladntext2"/>
            <w:rPr>
              <w:noProof/>
            </w:rPr>
          </w:pPr>
        </w:p>
        <w:p w14:paraId="42700CC0" w14:textId="77777777" w:rsidR="00564D8A" w:rsidRDefault="00564D8A" w:rsidP="000A32D5">
          <w:pPr>
            <w:pStyle w:val="Zkladntext2"/>
          </w:pPr>
        </w:p>
      </w:tc>
      <w:tc>
        <w:tcPr>
          <w:tcW w:w="4754" w:type="dxa"/>
          <w:vAlign w:val="center"/>
        </w:tcPr>
        <w:p w14:paraId="5FA60939" w14:textId="22D492FB" w:rsidR="00564D8A" w:rsidRPr="00220BE2" w:rsidRDefault="00564D8A" w:rsidP="000A32D5">
          <w:pPr>
            <w:pStyle w:val="Zhlav"/>
            <w:jc w:val="center"/>
            <w:rPr>
              <w:rFonts w:ascii="Times New Roman" w:hAnsi="Times New Roman"/>
              <w:i/>
              <w:sz w:val="24"/>
              <w:szCs w:val="24"/>
            </w:rPr>
          </w:pPr>
        </w:p>
      </w:tc>
      <w:tc>
        <w:tcPr>
          <w:tcW w:w="2493" w:type="dxa"/>
          <w:vAlign w:val="center"/>
        </w:tcPr>
        <w:p w14:paraId="7FBCC9FD" w14:textId="7AB6F2A0" w:rsidR="00564D8A" w:rsidRPr="00C47DDA" w:rsidRDefault="00564D8A" w:rsidP="00761E00">
          <w:pPr>
            <w:pStyle w:val="Zhlav"/>
            <w:jc w:val="right"/>
            <w:rPr>
              <w:sz w:val="20"/>
            </w:rPr>
          </w:pPr>
        </w:p>
      </w:tc>
    </w:tr>
  </w:tbl>
  <w:p w14:paraId="5E1F3A71" w14:textId="77777777" w:rsidR="00564D8A" w:rsidRPr="001C5A27" w:rsidRDefault="00564D8A" w:rsidP="001C5A2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lang w:val="fr-FR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200"/>
    <w:multiLevelType w:val="hybridMultilevel"/>
    <w:tmpl w:val="BA96B9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A7CBB"/>
    <w:multiLevelType w:val="hybridMultilevel"/>
    <w:tmpl w:val="D158D270"/>
    <w:lvl w:ilvl="0" w:tplc="AC5CCF9E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52A8F"/>
    <w:multiLevelType w:val="hybridMultilevel"/>
    <w:tmpl w:val="C242DCD6"/>
    <w:lvl w:ilvl="0" w:tplc="E95400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73108"/>
    <w:multiLevelType w:val="hybridMultilevel"/>
    <w:tmpl w:val="9842A6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92B13"/>
    <w:multiLevelType w:val="hybridMultilevel"/>
    <w:tmpl w:val="906284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D35B3"/>
    <w:multiLevelType w:val="hybridMultilevel"/>
    <w:tmpl w:val="3D3475EE"/>
    <w:lvl w:ilvl="0" w:tplc="5F20E002">
      <w:start w:val="465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5716D"/>
    <w:multiLevelType w:val="hybridMultilevel"/>
    <w:tmpl w:val="176838CC"/>
    <w:lvl w:ilvl="0" w:tplc="49B41240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63A84"/>
    <w:multiLevelType w:val="hybridMultilevel"/>
    <w:tmpl w:val="F76214E6"/>
    <w:lvl w:ilvl="0" w:tplc="A46E7C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9E"/>
    <w:rsid w:val="00000FB5"/>
    <w:rsid w:val="00001B21"/>
    <w:rsid w:val="00002C76"/>
    <w:rsid w:val="00004000"/>
    <w:rsid w:val="000051D8"/>
    <w:rsid w:val="00007F72"/>
    <w:rsid w:val="00011796"/>
    <w:rsid w:val="000120FF"/>
    <w:rsid w:val="00012693"/>
    <w:rsid w:val="00013D08"/>
    <w:rsid w:val="000144CC"/>
    <w:rsid w:val="000273F0"/>
    <w:rsid w:val="00031922"/>
    <w:rsid w:val="0003292A"/>
    <w:rsid w:val="00035514"/>
    <w:rsid w:val="0003738F"/>
    <w:rsid w:val="00041425"/>
    <w:rsid w:val="000443B2"/>
    <w:rsid w:val="00046616"/>
    <w:rsid w:val="00047A15"/>
    <w:rsid w:val="000525A8"/>
    <w:rsid w:val="000533B6"/>
    <w:rsid w:val="00055EFF"/>
    <w:rsid w:val="0005670C"/>
    <w:rsid w:val="00060CC7"/>
    <w:rsid w:val="00065295"/>
    <w:rsid w:val="00070477"/>
    <w:rsid w:val="00070B40"/>
    <w:rsid w:val="00072644"/>
    <w:rsid w:val="00074185"/>
    <w:rsid w:val="00074E7A"/>
    <w:rsid w:val="00075C51"/>
    <w:rsid w:val="000801ED"/>
    <w:rsid w:val="000807D1"/>
    <w:rsid w:val="000826A5"/>
    <w:rsid w:val="000831D6"/>
    <w:rsid w:val="000864D0"/>
    <w:rsid w:val="00090923"/>
    <w:rsid w:val="00093A0B"/>
    <w:rsid w:val="000A0057"/>
    <w:rsid w:val="000A1341"/>
    <w:rsid w:val="000A15B8"/>
    <w:rsid w:val="000A188A"/>
    <w:rsid w:val="000A32D5"/>
    <w:rsid w:val="000A7F89"/>
    <w:rsid w:val="000B23E8"/>
    <w:rsid w:val="000B7375"/>
    <w:rsid w:val="000C2A60"/>
    <w:rsid w:val="000C74E7"/>
    <w:rsid w:val="000D4448"/>
    <w:rsid w:val="000D4F27"/>
    <w:rsid w:val="000D50D2"/>
    <w:rsid w:val="000E2478"/>
    <w:rsid w:val="000E26AA"/>
    <w:rsid w:val="000F6796"/>
    <w:rsid w:val="000F68EF"/>
    <w:rsid w:val="000F77F5"/>
    <w:rsid w:val="0010040B"/>
    <w:rsid w:val="001023A3"/>
    <w:rsid w:val="0010249C"/>
    <w:rsid w:val="00114B34"/>
    <w:rsid w:val="00120C31"/>
    <w:rsid w:val="00121701"/>
    <w:rsid w:val="00121AD9"/>
    <w:rsid w:val="00124091"/>
    <w:rsid w:val="00125379"/>
    <w:rsid w:val="00125C37"/>
    <w:rsid w:val="00126F12"/>
    <w:rsid w:val="00132F85"/>
    <w:rsid w:val="00135763"/>
    <w:rsid w:val="00136B18"/>
    <w:rsid w:val="00136B19"/>
    <w:rsid w:val="00137915"/>
    <w:rsid w:val="00137BA9"/>
    <w:rsid w:val="0014093B"/>
    <w:rsid w:val="00153EC1"/>
    <w:rsid w:val="00163066"/>
    <w:rsid w:val="0016361B"/>
    <w:rsid w:val="001650D8"/>
    <w:rsid w:val="00165C70"/>
    <w:rsid w:val="0017044A"/>
    <w:rsid w:val="00170815"/>
    <w:rsid w:val="001710BA"/>
    <w:rsid w:val="00171449"/>
    <w:rsid w:val="001721B6"/>
    <w:rsid w:val="00173869"/>
    <w:rsid w:val="00174126"/>
    <w:rsid w:val="0017501F"/>
    <w:rsid w:val="0017520E"/>
    <w:rsid w:val="00175765"/>
    <w:rsid w:val="00177071"/>
    <w:rsid w:val="001772EF"/>
    <w:rsid w:val="001810AE"/>
    <w:rsid w:val="0018535F"/>
    <w:rsid w:val="00195E39"/>
    <w:rsid w:val="001971BE"/>
    <w:rsid w:val="001A369D"/>
    <w:rsid w:val="001B28E4"/>
    <w:rsid w:val="001B39F1"/>
    <w:rsid w:val="001B586E"/>
    <w:rsid w:val="001C3060"/>
    <w:rsid w:val="001C3852"/>
    <w:rsid w:val="001C5A27"/>
    <w:rsid w:val="001C6BB2"/>
    <w:rsid w:val="001D0C9D"/>
    <w:rsid w:val="001D40B9"/>
    <w:rsid w:val="001E0F00"/>
    <w:rsid w:val="001E239B"/>
    <w:rsid w:val="001E2785"/>
    <w:rsid w:val="001E67CF"/>
    <w:rsid w:val="002004D3"/>
    <w:rsid w:val="00201822"/>
    <w:rsid w:val="002057A9"/>
    <w:rsid w:val="002102A2"/>
    <w:rsid w:val="00211B20"/>
    <w:rsid w:val="00212A79"/>
    <w:rsid w:val="002132F3"/>
    <w:rsid w:val="00214D5A"/>
    <w:rsid w:val="00221CA4"/>
    <w:rsid w:val="0022588B"/>
    <w:rsid w:val="00234BB8"/>
    <w:rsid w:val="00243345"/>
    <w:rsid w:val="00245D84"/>
    <w:rsid w:val="00245DAA"/>
    <w:rsid w:val="00247958"/>
    <w:rsid w:val="00253030"/>
    <w:rsid w:val="002532A5"/>
    <w:rsid w:val="00255E28"/>
    <w:rsid w:val="00261677"/>
    <w:rsid w:val="00262DAB"/>
    <w:rsid w:val="00265595"/>
    <w:rsid w:val="00270C95"/>
    <w:rsid w:val="0027223A"/>
    <w:rsid w:val="00272932"/>
    <w:rsid w:val="00273A4D"/>
    <w:rsid w:val="002746E5"/>
    <w:rsid w:val="00275032"/>
    <w:rsid w:val="00280817"/>
    <w:rsid w:val="00282561"/>
    <w:rsid w:val="00284F79"/>
    <w:rsid w:val="002925B0"/>
    <w:rsid w:val="002A0320"/>
    <w:rsid w:val="002A2F2C"/>
    <w:rsid w:val="002A36D3"/>
    <w:rsid w:val="002B01A1"/>
    <w:rsid w:val="002B0C91"/>
    <w:rsid w:val="002B318D"/>
    <w:rsid w:val="002B35B4"/>
    <w:rsid w:val="002B402C"/>
    <w:rsid w:val="002B579B"/>
    <w:rsid w:val="002D6523"/>
    <w:rsid w:val="002D746F"/>
    <w:rsid w:val="002E0821"/>
    <w:rsid w:val="002E2C15"/>
    <w:rsid w:val="002E6E27"/>
    <w:rsid w:val="002E6E3E"/>
    <w:rsid w:val="002F35DE"/>
    <w:rsid w:val="002F4EC0"/>
    <w:rsid w:val="002F7A71"/>
    <w:rsid w:val="003005B1"/>
    <w:rsid w:val="0030167A"/>
    <w:rsid w:val="00301C02"/>
    <w:rsid w:val="0030747E"/>
    <w:rsid w:val="00311F6A"/>
    <w:rsid w:val="00312C1E"/>
    <w:rsid w:val="0031331A"/>
    <w:rsid w:val="00320069"/>
    <w:rsid w:val="00321E45"/>
    <w:rsid w:val="00324973"/>
    <w:rsid w:val="00330156"/>
    <w:rsid w:val="00336D40"/>
    <w:rsid w:val="00340934"/>
    <w:rsid w:val="00341E51"/>
    <w:rsid w:val="00343EF5"/>
    <w:rsid w:val="003479E3"/>
    <w:rsid w:val="00347B9F"/>
    <w:rsid w:val="00353B7C"/>
    <w:rsid w:val="00356050"/>
    <w:rsid w:val="00361736"/>
    <w:rsid w:val="003625C5"/>
    <w:rsid w:val="00363FDE"/>
    <w:rsid w:val="0036456A"/>
    <w:rsid w:val="00380DDC"/>
    <w:rsid w:val="003819AE"/>
    <w:rsid w:val="00386807"/>
    <w:rsid w:val="00386B6B"/>
    <w:rsid w:val="00386DC7"/>
    <w:rsid w:val="003900B2"/>
    <w:rsid w:val="00391BC0"/>
    <w:rsid w:val="003925D8"/>
    <w:rsid w:val="00395B00"/>
    <w:rsid w:val="003A0EA2"/>
    <w:rsid w:val="003B0D17"/>
    <w:rsid w:val="003B4C68"/>
    <w:rsid w:val="003B6091"/>
    <w:rsid w:val="003C2D8A"/>
    <w:rsid w:val="003C3BC5"/>
    <w:rsid w:val="003C7B03"/>
    <w:rsid w:val="003D0B37"/>
    <w:rsid w:val="003D1C99"/>
    <w:rsid w:val="003D35A5"/>
    <w:rsid w:val="003D35CF"/>
    <w:rsid w:val="003E2C49"/>
    <w:rsid w:val="003E38F2"/>
    <w:rsid w:val="003E4FC5"/>
    <w:rsid w:val="003F0C05"/>
    <w:rsid w:val="003F1147"/>
    <w:rsid w:val="003F22A7"/>
    <w:rsid w:val="00402727"/>
    <w:rsid w:val="00404D7D"/>
    <w:rsid w:val="00405451"/>
    <w:rsid w:val="004069BE"/>
    <w:rsid w:val="004079AD"/>
    <w:rsid w:val="0041129B"/>
    <w:rsid w:val="0041192D"/>
    <w:rsid w:val="004122B9"/>
    <w:rsid w:val="00412889"/>
    <w:rsid w:val="004133A4"/>
    <w:rsid w:val="0041358B"/>
    <w:rsid w:val="004144BC"/>
    <w:rsid w:val="00415DC7"/>
    <w:rsid w:val="00426138"/>
    <w:rsid w:val="00427985"/>
    <w:rsid w:val="004302C5"/>
    <w:rsid w:val="004376E5"/>
    <w:rsid w:val="00437F61"/>
    <w:rsid w:val="004400DA"/>
    <w:rsid w:val="00445075"/>
    <w:rsid w:val="0045133D"/>
    <w:rsid w:val="004533F1"/>
    <w:rsid w:val="00453F18"/>
    <w:rsid w:val="00463801"/>
    <w:rsid w:val="00465F52"/>
    <w:rsid w:val="00470B17"/>
    <w:rsid w:val="00480306"/>
    <w:rsid w:val="0048175F"/>
    <w:rsid w:val="004821B9"/>
    <w:rsid w:val="00483EDA"/>
    <w:rsid w:val="00490A10"/>
    <w:rsid w:val="004927BA"/>
    <w:rsid w:val="00493404"/>
    <w:rsid w:val="00494762"/>
    <w:rsid w:val="004A1FCC"/>
    <w:rsid w:val="004A6F2A"/>
    <w:rsid w:val="004B1F52"/>
    <w:rsid w:val="004B3060"/>
    <w:rsid w:val="004B5114"/>
    <w:rsid w:val="004B5F96"/>
    <w:rsid w:val="004B6027"/>
    <w:rsid w:val="004C4BB9"/>
    <w:rsid w:val="004D02FE"/>
    <w:rsid w:val="004D0EC4"/>
    <w:rsid w:val="004D13C0"/>
    <w:rsid w:val="004D16A8"/>
    <w:rsid w:val="004D33A1"/>
    <w:rsid w:val="004D5183"/>
    <w:rsid w:val="004D687F"/>
    <w:rsid w:val="004D6CB8"/>
    <w:rsid w:val="004E0E32"/>
    <w:rsid w:val="004E4E0D"/>
    <w:rsid w:val="004E6B8A"/>
    <w:rsid w:val="004E712C"/>
    <w:rsid w:val="004F25FD"/>
    <w:rsid w:val="004F647C"/>
    <w:rsid w:val="005013EA"/>
    <w:rsid w:val="00501E99"/>
    <w:rsid w:val="00502C36"/>
    <w:rsid w:val="00504458"/>
    <w:rsid w:val="005061D0"/>
    <w:rsid w:val="00514CC1"/>
    <w:rsid w:val="005206E7"/>
    <w:rsid w:val="00520A11"/>
    <w:rsid w:val="00520BC4"/>
    <w:rsid w:val="00522DD5"/>
    <w:rsid w:val="00522E22"/>
    <w:rsid w:val="00526D83"/>
    <w:rsid w:val="00530AB1"/>
    <w:rsid w:val="005320A8"/>
    <w:rsid w:val="00537B7F"/>
    <w:rsid w:val="00541530"/>
    <w:rsid w:val="00543580"/>
    <w:rsid w:val="00543DBF"/>
    <w:rsid w:val="00544B69"/>
    <w:rsid w:val="005456DD"/>
    <w:rsid w:val="00553FF0"/>
    <w:rsid w:val="005551AD"/>
    <w:rsid w:val="00555438"/>
    <w:rsid w:val="00556186"/>
    <w:rsid w:val="00560E67"/>
    <w:rsid w:val="00564D8A"/>
    <w:rsid w:val="00566F80"/>
    <w:rsid w:val="0057022E"/>
    <w:rsid w:val="005740A9"/>
    <w:rsid w:val="00583976"/>
    <w:rsid w:val="00591CA0"/>
    <w:rsid w:val="00592661"/>
    <w:rsid w:val="00594985"/>
    <w:rsid w:val="00595A6B"/>
    <w:rsid w:val="00595E56"/>
    <w:rsid w:val="005960CA"/>
    <w:rsid w:val="00596930"/>
    <w:rsid w:val="00596E2E"/>
    <w:rsid w:val="005A00C9"/>
    <w:rsid w:val="005A2304"/>
    <w:rsid w:val="005A5796"/>
    <w:rsid w:val="005A57DA"/>
    <w:rsid w:val="005B0670"/>
    <w:rsid w:val="005B1357"/>
    <w:rsid w:val="005B325D"/>
    <w:rsid w:val="005C205F"/>
    <w:rsid w:val="005C282A"/>
    <w:rsid w:val="005C4166"/>
    <w:rsid w:val="005C7152"/>
    <w:rsid w:val="005D07AA"/>
    <w:rsid w:val="005D1969"/>
    <w:rsid w:val="005D3BE8"/>
    <w:rsid w:val="00602E60"/>
    <w:rsid w:val="006060AF"/>
    <w:rsid w:val="00612EC6"/>
    <w:rsid w:val="00616A60"/>
    <w:rsid w:val="00622290"/>
    <w:rsid w:val="00627E5D"/>
    <w:rsid w:val="006318EC"/>
    <w:rsid w:val="006337A8"/>
    <w:rsid w:val="006348D2"/>
    <w:rsid w:val="00635EBC"/>
    <w:rsid w:val="00636ED9"/>
    <w:rsid w:val="006371D8"/>
    <w:rsid w:val="00642D0A"/>
    <w:rsid w:val="0064327D"/>
    <w:rsid w:val="0064350C"/>
    <w:rsid w:val="00643D48"/>
    <w:rsid w:val="0064763C"/>
    <w:rsid w:val="0065088F"/>
    <w:rsid w:val="006551C8"/>
    <w:rsid w:val="006570C5"/>
    <w:rsid w:val="00662A0E"/>
    <w:rsid w:val="00662AF9"/>
    <w:rsid w:val="0066561B"/>
    <w:rsid w:val="00665839"/>
    <w:rsid w:val="00665A05"/>
    <w:rsid w:val="00665DF4"/>
    <w:rsid w:val="006741FD"/>
    <w:rsid w:val="00676CB6"/>
    <w:rsid w:val="00677C84"/>
    <w:rsid w:val="0068048D"/>
    <w:rsid w:val="0068135F"/>
    <w:rsid w:val="006932D7"/>
    <w:rsid w:val="0069515C"/>
    <w:rsid w:val="006959F9"/>
    <w:rsid w:val="006A1E95"/>
    <w:rsid w:val="006A25BD"/>
    <w:rsid w:val="006A3986"/>
    <w:rsid w:val="006A531C"/>
    <w:rsid w:val="006A67E4"/>
    <w:rsid w:val="006B2B43"/>
    <w:rsid w:val="006B63AE"/>
    <w:rsid w:val="006C07EE"/>
    <w:rsid w:val="006C6677"/>
    <w:rsid w:val="006C74CD"/>
    <w:rsid w:val="006C7A49"/>
    <w:rsid w:val="006D0738"/>
    <w:rsid w:val="006D16AA"/>
    <w:rsid w:val="006D525E"/>
    <w:rsid w:val="006D57B6"/>
    <w:rsid w:val="006E2070"/>
    <w:rsid w:val="006E42D4"/>
    <w:rsid w:val="006E72B0"/>
    <w:rsid w:val="006F1918"/>
    <w:rsid w:val="006F2053"/>
    <w:rsid w:val="006F3BCD"/>
    <w:rsid w:val="006F3D64"/>
    <w:rsid w:val="007129AD"/>
    <w:rsid w:val="007167E6"/>
    <w:rsid w:val="00723A76"/>
    <w:rsid w:val="00725E08"/>
    <w:rsid w:val="007301A0"/>
    <w:rsid w:val="00736609"/>
    <w:rsid w:val="0073712E"/>
    <w:rsid w:val="007377B7"/>
    <w:rsid w:val="00742330"/>
    <w:rsid w:val="007448B7"/>
    <w:rsid w:val="00744C11"/>
    <w:rsid w:val="007474DD"/>
    <w:rsid w:val="00750CE7"/>
    <w:rsid w:val="0075283B"/>
    <w:rsid w:val="00756EA0"/>
    <w:rsid w:val="00761E00"/>
    <w:rsid w:val="007624BF"/>
    <w:rsid w:val="00763A7A"/>
    <w:rsid w:val="007642D5"/>
    <w:rsid w:val="00765D74"/>
    <w:rsid w:val="0076797B"/>
    <w:rsid w:val="00770487"/>
    <w:rsid w:val="007731A0"/>
    <w:rsid w:val="0077416B"/>
    <w:rsid w:val="007753C0"/>
    <w:rsid w:val="007765E4"/>
    <w:rsid w:val="00787ADB"/>
    <w:rsid w:val="00787ED8"/>
    <w:rsid w:val="007930E5"/>
    <w:rsid w:val="007943A5"/>
    <w:rsid w:val="007943B3"/>
    <w:rsid w:val="007969A5"/>
    <w:rsid w:val="0079740A"/>
    <w:rsid w:val="007A1DB3"/>
    <w:rsid w:val="007A5B8C"/>
    <w:rsid w:val="007A62E5"/>
    <w:rsid w:val="007A6D8B"/>
    <w:rsid w:val="007B28BF"/>
    <w:rsid w:val="007B3D68"/>
    <w:rsid w:val="007C41D8"/>
    <w:rsid w:val="007C4CB3"/>
    <w:rsid w:val="007C6629"/>
    <w:rsid w:val="007C7B1A"/>
    <w:rsid w:val="007C7E6E"/>
    <w:rsid w:val="007D1FBE"/>
    <w:rsid w:val="007D28C0"/>
    <w:rsid w:val="007D2BDF"/>
    <w:rsid w:val="007E3BAF"/>
    <w:rsid w:val="007F050D"/>
    <w:rsid w:val="007F144F"/>
    <w:rsid w:val="007F177A"/>
    <w:rsid w:val="007F1A96"/>
    <w:rsid w:val="007F4380"/>
    <w:rsid w:val="007F43A8"/>
    <w:rsid w:val="007F4420"/>
    <w:rsid w:val="007F5BEF"/>
    <w:rsid w:val="007F6DD2"/>
    <w:rsid w:val="007F7F11"/>
    <w:rsid w:val="00801C06"/>
    <w:rsid w:val="00803021"/>
    <w:rsid w:val="008049F2"/>
    <w:rsid w:val="00805E06"/>
    <w:rsid w:val="00810D84"/>
    <w:rsid w:val="008110E3"/>
    <w:rsid w:val="008122B9"/>
    <w:rsid w:val="00814F2B"/>
    <w:rsid w:val="008150C8"/>
    <w:rsid w:val="00821BEB"/>
    <w:rsid w:val="00824363"/>
    <w:rsid w:val="00824CAD"/>
    <w:rsid w:val="008348C9"/>
    <w:rsid w:val="00834BEA"/>
    <w:rsid w:val="008370F6"/>
    <w:rsid w:val="00837441"/>
    <w:rsid w:val="00840786"/>
    <w:rsid w:val="00843691"/>
    <w:rsid w:val="008451EE"/>
    <w:rsid w:val="00847092"/>
    <w:rsid w:val="008512B0"/>
    <w:rsid w:val="00863FD4"/>
    <w:rsid w:val="008677C7"/>
    <w:rsid w:val="00870F97"/>
    <w:rsid w:val="00874880"/>
    <w:rsid w:val="00883533"/>
    <w:rsid w:val="00883E8F"/>
    <w:rsid w:val="00885757"/>
    <w:rsid w:val="00885E1B"/>
    <w:rsid w:val="00886777"/>
    <w:rsid w:val="00886945"/>
    <w:rsid w:val="00893FE5"/>
    <w:rsid w:val="00895E58"/>
    <w:rsid w:val="0089718F"/>
    <w:rsid w:val="008A06E7"/>
    <w:rsid w:val="008A0AD9"/>
    <w:rsid w:val="008A62B2"/>
    <w:rsid w:val="008A662E"/>
    <w:rsid w:val="008A74F6"/>
    <w:rsid w:val="008A7759"/>
    <w:rsid w:val="008B1E87"/>
    <w:rsid w:val="008B2D3B"/>
    <w:rsid w:val="008C1260"/>
    <w:rsid w:val="008C3C4A"/>
    <w:rsid w:val="008C4371"/>
    <w:rsid w:val="008C43AB"/>
    <w:rsid w:val="008D14C3"/>
    <w:rsid w:val="008D6E98"/>
    <w:rsid w:val="008D7EC5"/>
    <w:rsid w:val="008E11DF"/>
    <w:rsid w:val="008E13CD"/>
    <w:rsid w:val="008E13D1"/>
    <w:rsid w:val="008E1FE0"/>
    <w:rsid w:val="008E3CAF"/>
    <w:rsid w:val="008E5C44"/>
    <w:rsid w:val="008E6D8F"/>
    <w:rsid w:val="008F6DAC"/>
    <w:rsid w:val="0090072C"/>
    <w:rsid w:val="0090082A"/>
    <w:rsid w:val="009008CD"/>
    <w:rsid w:val="00900AB7"/>
    <w:rsid w:val="00902920"/>
    <w:rsid w:val="00903BA9"/>
    <w:rsid w:val="009055BB"/>
    <w:rsid w:val="0091135D"/>
    <w:rsid w:val="00914AA6"/>
    <w:rsid w:val="009164CF"/>
    <w:rsid w:val="00921680"/>
    <w:rsid w:val="009221FC"/>
    <w:rsid w:val="00925661"/>
    <w:rsid w:val="00935A2D"/>
    <w:rsid w:val="00935CCA"/>
    <w:rsid w:val="00937C1D"/>
    <w:rsid w:val="0094035A"/>
    <w:rsid w:val="0094083C"/>
    <w:rsid w:val="00940C6F"/>
    <w:rsid w:val="00941935"/>
    <w:rsid w:val="009441B2"/>
    <w:rsid w:val="0095576B"/>
    <w:rsid w:val="00956960"/>
    <w:rsid w:val="00963140"/>
    <w:rsid w:val="009631A4"/>
    <w:rsid w:val="00964C2D"/>
    <w:rsid w:val="00971D24"/>
    <w:rsid w:val="00971E7C"/>
    <w:rsid w:val="00976BAF"/>
    <w:rsid w:val="00980DC8"/>
    <w:rsid w:val="00985C94"/>
    <w:rsid w:val="009A1A78"/>
    <w:rsid w:val="009A1FC6"/>
    <w:rsid w:val="009A6A65"/>
    <w:rsid w:val="009A6C44"/>
    <w:rsid w:val="009B1E86"/>
    <w:rsid w:val="009B232A"/>
    <w:rsid w:val="009B4A75"/>
    <w:rsid w:val="009B521F"/>
    <w:rsid w:val="009C1F0E"/>
    <w:rsid w:val="009C4E76"/>
    <w:rsid w:val="009E2963"/>
    <w:rsid w:val="009E512D"/>
    <w:rsid w:val="00A0050E"/>
    <w:rsid w:val="00A03179"/>
    <w:rsid w:val="00A05C73"/>
    <w:rsid w:val="00A14501"/>
    <w:rsid w:val="00A21DD1"/>
    <w:rsid w:val="00A2493F"/>
    <w:rsid w:val="00A3209E"/>
    <w:rsid w:val="00A32BB7"/>
    <w:rsid w:val="00A33D74"/>
    <w:rsid w:val="00A36998"/>
    <w:rsid w:val="00A41496"/>
    <w:rsid w:val="00A447C3"/>
    <w:rsid w:val="00A44BE9"/>
    <w:rsid w:val="00A5224B"/>
    <w:rsid w:val="00A560FC"/>
    <w:rsid w:val="00A64146"/>
    <w:rsid w:val="00A660D5"/>
    <w:rsid w:val="00A702B1"/>
    <w:rsid w:val="00A742C4"/>
    <w:rsid w:val="00A74AF3"/>
    <w:rsid w:val="00A74D6E"/>
    <w:rsid w:val="00A75040"/>
    <w:rsid w:val="00A77750"/>
    <w:rsid w:val="00A80677"/>
    <w:rsid w:val="00A84791"/>
    <w:rsid w:val="00A928F9"/>
    <w:rsid w:val="00AA0344"/>
    <w:rsid w:val="00AA1BA6"/>
    <w:rsid w:val="00AC07C7"/>
    <w:rsid w:val="00AC4444"/>
    <w:rsid w:val="00AC6D93"/>
    <w:rsid w:val="00AD05FD"/>
    <w:rsid w:val="00AD0D01"/>
    <w:rsid w:val="00AD0D02"/>
    <w:rsid w:val="00AD0D4A"/>
    <w:rsid w:val="00AD75A7"/>
    <w:rsid w:val="00AE033C"/>
    <w:rsid w:val="00AE3E60"/>
    <w:rsid w:val="00AF5F8D"/>
    <w:rsid w:val="00AF7C63"/>
    <w:rsid w:val="00B01C34"/>
    <w:rsid w:val="00B03824"/>
    <w:rsid w:val="00B03B2A"/>
    <w:rsid w:val="00B06894"/>
    <w:rsid w:val="00B1150B"/>
    <w:rsid w:val="00B13292"/>
    <w:rsid w:val="00B141C5"/>
    <w:rsid w:val="00B16E70"/>
    <w:rsid w:val="00B17B18"/>
    <w:rsid w:val="00B2356B"/>
    <w:rsid w:val="00B23955"/>
    <w:rsid w:val="00B250DE"/>
    <w:rsid w:val="00B254FD"/>
    <w:rsid w:val="00B2560F"/>
    <w:rsid w:val="00B25E4A"/>
    <w:rsid w:val="00B306A7"/>
    <w:rsid w:val="00B32DC8"/>
    <w:rsid w:val="00B33BEE"/>
    <w:rsid w:val="00B34737"/>
    <w:rsid w:val="00B40501"/>
    <w:rsid w:val="00B4118A"/>
    <w:rsid w:val="00B41281"/>
    <w:rsid w:val="00B43B23"/>
    <w:rsid w:val="00B46CC3"/>
    <w:rsid w:val="00B5115F"/>
    <w:rsid w:val="00B60A28"/>
    <w:rsid w:val="00B64B22"/>
    <w:rsid w:val="00B67740"/>
    <w:rsid w:val="00B811BB"/>
    <w:rsid w:val="00B822A9"/>
    <w:rsid w:val="00B83362"/>
    <w:rsid w:val="00B86710"/>
    <w:rsid w:val="00B86BF8"/>
    <w:rsid w:val="00B86FC1"/>
    <w:rsid w:val="00B91A4A"/>
    <w:rsid w:val="00B96632"/>
    <w:rsid w:val="00BA3774"/>
    <w:rsid w:val="00BA6BC1"/>
    <w:rsid w:val="00BB3463"/>
    <w:rsid w:val="00BB361C"/>
    <w:rsid w:val="00BB5EBB"/>
    <w:rsid w:val="00BB68AE"/>
    <w:rsid w:val="00BB6C3C"/>
    <w:rsid w:val="00BB79DE"/>
    <w:rsid w:val="00BB7D18"/>
    <w:rsid w:val="00BC42CC"/>
    <w:rsid w:val="00BC7A88"/>
    <w:rsid w:val="00BD32FF"/>
    <w:rsid w:val="00BD5337"/>
    <w:rsid w:val="00BD6290"/>
    <w:rsid w:val="00BD67AD"/>
    <w:rsid w:val="00BE45E7"/>
    <w:rsid w:val="00BE5084"/>
    <w:rsid w:val="00BE6DB3"/>
    <w:rsid w:val="00BF116B"/>
    <w:rsid w:val="00BF72A4"/>
    <w:rsid w:val="00C02C49"/>
    <w:rsid w:val="00C03354"/>
    <w:rsid w:val="00C05A1A"/>
    <w:rsid w:val="00C110B1"/>
    <w:rsid w:val="00C12E4A"/>
    <w:rsid w:val="00C13CDA"/>
    <w:rsid w:val="00C1460B"/>
    <w:rsid w:val="00C2580C"/>
    <w:rsid w:val="00C2651F"/>
    <w:rsid w:val="00C27E9F"/>
    <w:rsid w:val="00C35C92"/>
    <w:rsid w:val="00C36056"/>
    <w:rsid w:val="00C363FD"/>
    <w:rsid w:val="00C40C97"/>
    <w:rsid w:val="00C44707"/>
    <w:rsid w:val="00C4652E"/>
    <w:rsid w:val="00C47DDA"/>
    <w:rsid w:val="00C50DF9"/>
    <w:rsid w:val="00C517B4"/>
    <w:rsid w:val="00C51C59"/>
    <w:rsid w:val="00C63CD1"/>
    <w:rsid w:val="00C65B87"/>
    <w:rsid w:val="00C6737E"/>
    <w:rsid w:val="00C7090B"/>
    <w:rsid w:val="00C7216E"/>
    <w:rsid w:val="00C723CB"/>
    <w:rsid w:val="00C74981"/>
    <w:rsid w:val="00C95412"/>
    <w:rsid w:val="00C97444"/>
    <w:rsid w:val="00CA452B"/>
    <w:rsid w:val="00CA5729"/>
    <w:rsid w:val="00CA5D24"/>
    <w:rsid w:val="00CB1333"/>
    <w:rsid w:val="00CB2307"/>
    <w:rsid w:val="00CB613F"/>
    <w:rsid w:val="00CC03EC"/>
    <w:rsid w:val="00CC41F1"/>
    <w:rsid w:val="00CC5CA7"/>
    <w:rsid w:val="00CD3022"/>
    <w:rsid w:val="00CD51B9"/>
    <w:rsid w:val="00CD58D5"/>
    <w:rsid w:val="00CE5DB0"/>
    <w:rsid w:val="00CF1911"/>
    <w:rsid w:val="00CF1BB1"/>
    <w:rsid w:val="00CF2EE9"/>
    <w:rsid w:val="00D01799"/>
    <w:rsid w:val="00D041FD"/>
    <w:rsid w:val="00D05431"/>
    <w:rsid w:val="00D06F87"/>
    <w:rsid w:val="00D10332"/>
    <w:rsid w:val="00D10DCD"/>
    <w:rsid w:val="00D144D4"/>
    <w:rsid w:val="00D2366D"/>
    <w:rsid w:val="00D26723"/>
    <w:rsid w:val="00D277F0"/>
    <w:rsid w:val="00D30895"/>
    <w:rsid w:val="00D32252"/>
    <w:rsid w:val="00D32AA3"/>
    <w:rsid w:val="00D345DE"/>
    <w:rsid w:val="00D37721"/>
    <w:rsid w:val="00D37A6B"/>
    <w:rsid w:val="00D37F43"/>
    <w:rsid w:val="00D564C9"/>
    <w:rsid w:val="00D57DFE"/>
    <w:rsid w:val="00D60E9B"/>
    <w:rsid w:val="00D66448"/>
    <w:rsid w:val="00D6662E"/>
    <w:rsid w:val="00D76899"/>
    <w:rsid w:val="00D776A7"/>
    <w:rsid w:val="00D8078C"/>
    <w:rsid w:val="00D848C9"/>
    <w:rsid w:val="00D857D7"/>
    <w:rsid w:val="00D8779F"/>
    <w:rsid w:val="00D900FE"/>
    <w:rsid w:val="00D93D20"/>
    <w:rsid w:val="00D9418E"/>
    <w:rsid w:val="00D95491"/>
    <w:rsid w:val="00D95739"/>
    <w:rsid w:val="00D961D2"/>
    <w:rsid w:val="00D968BE"/>
    <w:rsid w:val="00D96D06"/>
    <w:rsid w:val="00DA09A7"/>
    <w:rsid w:val="00DA4949"/>
    <w:rsid w:val="00DB350A"/>
    <w:rsid w:val="00DB6E48"/>
    <w:rsid w:val="00DC1FF5"/>
    <w:rsid w:val="00DC37F1"/>
    <w:rsid w:val="00DC6C7C"/>
    <w:rsid w:val="00DC6D0A"/>
    <w:rsid w:val="00DD0A56"/>
    <w:rsid w:val="00DD0A65"/>
    <w:rsid w:val="00DD1791"/>
    <w:rsid w:val="00DD6E97"/>
    <w:rsid w:val="00DE088D"/>
    <w:rsid w:val="00DE1BFC"/>
    <w:rsid w:val="00DE3511"/>
    <w:rsid w:val="00DF2103"/>
    <w:rsid w:val="00DF2934"/>
    <w:rsid w:val="00DF7361"/>
    <w:rsid w:val="00DF76F2"/>
    <w:rsid w:val="00DF7B5F"/>
    <w:rsid w:val="00E008E9"/>
    <w:rsid w:val="00E054E5"/>
    <w:rsid w:val="00E12776"/>
    <w:rsid w:val="00E1315E"/>
    <w:rsid w:val="00E14BC8"/>
    <w:rsid w:val="00E1792E"/>
    <w:rsid w:val="00E219AC"/>
    <w:rsid w:val="00E21D85"/>
    <w:rsid w:val="00E24FD4"/>
    <w:rsid w:val="00E304EA"/>
    <w:rsid w:val="00E30687"/>
    <w:rsid w:val="00E31B15"/>
    <w:rsid w:val="00E33975"/>
    <w:rsid w:val="00E345BA"/>
    <w:rsid w:val="00E357BE"/>
    <w:rsid w:val="00E3712C"/>
    <w:rsid w:val="00E37DED"/>
    <w:rsid w:val="00E37FE2"/>
    <w:rsid w:val="00E404CA"/>
    <w:rsid w:val="00E456ED"/>
    <w:rsid w:val="00E45710"/>
    <w:rsid w:val="00E4779E"/>
    <w:rsid w:val="00E53983"/>
    <w:rsid w:val="00E53FCA"/>
    <w:rsid w:val="00E5590B"/>
    <w:rsid w:val="00E62809"/>
    <w:rsid w:val="00E63F01"/>
    <w:rsid w:val="00E640BF"/>
    <w:rsid w:val="00E67A76"/>
    <w:rsid w:val="00E729B4"/>
    <w:rsid w:val="00E77555"/>
    <w:rsid w:val="00E7796C"/>
    <w:rsid w:val="00E77EB0"/>
    <w:rsid w:val="00E821E5"/>
    <w:rsid w:val="00E82953"/>
    <w:rsid w:val="00E857C3"/>
    <w:rsid w:val="00E91997"/>
    <w:rsid w:val="00E921CA"/>
    <w:rsid w:val="00E952B4"/>
    <w:rsid w:val="00E97DFC"/>
    <w:rsid w:val="00EB0EFF"/>
    <w:rsid w:val="00EB2128"/>
    <w:rsid w:val="00EB5148"/>
    <w:rsid w:val="00EC172A"/>
    <w:rsid w:val="00EC1797"/>
    <w:rsid w:val="00EC31D7"/>
    <w:rsid w:val="00ED15FD"/>
    <w:rsid w:val="00ED3269"/>
    <w:rsid w:val="00ED39C9"/>
    <w:rsid w:val="00ED558C"/>
    <w:rsid w:val="00ED6CF0"/>
    <w:rsid w:val="00EE11BC"/>
    <w:rsid w:val="00EE292B"/>
    <w:rsid w:val="00EE4C9E"/>
    <w:rsid w:val="00EE5043"/>
    <w:rsid w:val="00EE5BF7"/>
    <w:rsid w:val="00EF431C"/>
    <w:rsid w:val="00EF4AD3"/>
    <w:rsid w:val="00EF7805"/>
    <w:rsid w:val="00F03D71"/>
    <w:rsid w:val="00F10E9A"/>
    <w:rsid w:val="00F1107D"/>
    <w:rsid w:val="00F11B9A"/>
    <w:rsid w:val="00F127BC"/>
    <w:rsid w:val="00F1545D"/>
    <w:rsid w:val="00F157BB"/>
    <w:rsid w:val="00F17E2A"/>
    <w:rsid w:val="00F21758"/>
    <w:rsid w:val="00F24AB3"/>
    <w:rsid w:val="00F265ED"/>
    <w:rsid w:val="00F268CE"/>
    <w:rsid w:val="00F31887"/>
    <w:rsid w:val="00F320E0"/>
    <w:rsid w:val="00F33766"/>
    <w:rsid w:val="00F40D14"/>
    <w:rsid w:val="00F47328"/>
    <w:rsid w:val="00F47A28"/>
    <w:rsid w:val="00F54C49"/>
    <w:rsid w:val="00F554F5"/>
    <w:rsid w:val="00F57EF5"/>
    <w:rsid w:val="00F60A61"/>
    <w:rsid w:val="00F60E09"/>
    <w:rsid w:val="00F623F6"/>
    <w:rsid w:val="00F631CC"/>
    <w:rsid w:val="00F636AE"/>
    <w:rsid w:val="00F637CC"/>
    <w:rsid w:val="00F64F19"/>
    <w:rsid w:val="00F65DC7"/>
    <w:rsid w:val="00F66878"/>
    <w:rsid w:val="00F7212A"/>
    <w:rsid w:val="00F72242"/>
    <w:rsid w:val="00F7328C"/>
    <w:rsid w:val="00F74E9D"/>
    <w:rsid w:val="00F75C96"/>
    <w:rsid w:val="00F816A3"/>
    <w:rsid w:val="00F8371B"/>
    <w:rsid w:val="00F838CB"/>
    <w:rsid w:val="00F83C6C"/>
    <w:rsid w:val="00F9173F"/>
    <w:rsid w:val="00F92E12"/>
    <w:rsid w:val="00FA6F46"/>
    <w:rsid w:val="00FA7AF8"/>
    <w:rsid w:val="00FB12EB"/>
    <w:rsid w:val="00FB32B5"/>
    <w:rsid w:val="00FB7020"/>
    <w:rsid w:val="00FD2B70"/>
    <w:rsid w:val="00FD4714"/>
    <w:rsid w:val="00FD4B23"/>
    <w:rsid w:val="00FD50BF"/>
    <w:rsid w:val="00FD5330"/>
    <w:rsid w:val="00FD6763"/>
    <w:rsid w:val="00FD7C7E"/>
    <w:rsid w:val="00FE28F3"/>
    <w:rsid w:val="00FE316E"/>
    <w:rsid w:val="00FF0BD9"/>
    <w:rsid w:val="00FF0FE0"/>
    <w:rsid w:val="00F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4B7E4E"/>
  <w15:docId w15:val="{A3C57ABF-0B4E-4B64-A841-93C6EFC5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5A27"/>
  </w:style>
  <w:style w:type="paragraph" w:styleId="Nadpis1">
    <w:name w:val="heading 1"/>
    <w:basedOn w:val="Normln"/>
    <w:next w:val="Normln"/>
    <w:link w:val="Nadpis1Char"/>
    <w:uiPriority w:val="99"/>
    <w:qFormat/>
    <w:rsid w:val="001C5A27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32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3209E"/>
  </w:style>
  <w:style w:type="paragraph" w:styleId="Zpat">
    <w:name w:val="footer"/>
    <w:basedOn w:val="Normln"/>
    <w:link w:val="ZpatChar"/>
    <w:uiPriority w:val="99"/>
    <w:unhideWhenUsed/>
    <w:rsid w:val="00A32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209E"/>
  </w:style>
  <w:style w:type="character" w:styleId="slostrnky">
    <w:name w:val="page number"/>
    <w:basedOn w:val="Standardnpsmoodstavce"/>
    <w:rsid w:val="00A3209E"/>
  </w:style>
  <w:style w:type="paragraph" w:styleId="Zkladntextodsazen3">
    <w:name w:val="Body Text Indent 3"/>
    <w:basedOn w:val="Normln"/>
    <w:link w:val="Zkladntextodsazen3Char"/>
    <w:uiPriority w:val="99"/>
    <w:rsid w:val="00F268C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268C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1C5A27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5A27"/>
    <w:rPr>
      <w:rFonts w:ascii="Tahoma" w:hAnsi="Tahoma" w:cs="Tahoma"/>
      <w:sz w:val="16"/>
      <w:szCs w:val="16"/>
    </w:rPr>
  </w:style>
  <w:style w:type="paragraph" w:customStyle="1" w:styleId="Normln1">
    <w:name w:val="Normální.1"/>
    <w:uiPriority w:val="99"/>
    <w:rsid w:val="001C5A27"/>
    <w:pPr>
      <w:spacing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B33BEE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433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3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3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3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345"/>
    <w:rPr>
      <w:b/>
      <w:bCs/>
      <w:sz w:val="20"/>
      <w:szCs w:val="20"/>
    </w:rPr>
  </w:style>
  <w:style w:type="paragraph" w:customStyle="1" w:styleId="Zkladntext21">
    <w:name w:val="Základní text 21"/>
    <w:basedOn w:val="Normln"/>
    <w:uiPriority w:val="99"/>
    <w:rsid w:val="00AD0D02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C3C4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C3C4A"/>
  </w:style>
  <w:style w:type="paragraph" w:styleId="Odstavecseseznamem">
    <w:name w:val="List Paragraph"/>
    <w:basedOn w:val="Normln"/>
    <w:uiPriority w:val="34"/>
    <w:qFormat/>
    <w:rsid w:val="002A36D3"/>
    <w:pPr>
      <w:ind w:left="720"/>
      <w:contextualSpacing/>
    </w:pPr>
  </w:style>
  <w:style w:type="paragraph" w:styleId="Zkladntext2">
    <w:name w:val="Body Text 2"/>
    <w:basedOn w:val="Normln"/>
    <w:link w:val="Zkladntext2Char"/>
    <w:rsid w:val="00C47DDA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47DDA"/>
    <w:rPr>
      <w:rFonts w:ascii="Arial" w:eastAsia="Times New Roman" w:hAnsi="Arial" w:cs="Times New Roman"/>
      <w:b/>
      <w:szCs w:val="20"/>
      <w:lang w:eastAsia="cs-CZ"/>
    </w:rPr>
  </w:style>
  <w:style w:type="character" w:styleId="Zdraznn">
    <w:name w:val="Emphasis"/>
    <w:basedOn w:val="Standardnpsmoodstavce"/>
    <w:uiPriority w:val="20"/>
    <w:qFormat/>
    <w:rsid w:val="00E304EA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CE5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46213-9998-4799-AB2E-104E310F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2764</TotalTime>
  <Pages>4</Pages>
  <Words>1753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12073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Nábělek Jaromír</dc:creator>
  <cp:lastModifiedBy>Štěpáníková Martina</cp:lastModifiedBy>
  <cp:revision>62</cp:revision>
  <dcterms:created xsi:type="dcterms:W3CDTF">2019-11-26T09:48:00Z</dcterms:created>
  <dcterms:modified xsi:type="dcterms:W3CDTF">2020-04-01T08:53:00Z</dcterms:modified>
</cp:coreProperties>
</file>